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5C935" w14:textId="77777777" w:rsidR="00941BB6" w:rsidRDefault="00903A85" w:rsidP="00903A85">
      <w:pPr>
        <w:rPr>
          <w:rFonts w:ascii="Times New Roman" w:hAnsi="Times New Roman" w:cs="Times New Roman"/>
          <w:sz w:val="24"/>
          <w:szCs w:val="24"/>
          <w:lang w:val="en-US"/>
        </w:rPr>
      </w:pPr>
      <w:bookmarkStart w:id="0" w:name="_Hlk174385307"/>
      <w:r w:rsidRPr="001B28DA">
        <w:rPr>
          <w:rFonts w:ascii="Times New Roman" w:hAnsi="Times New Roman" w:cs="Times New Roman"/>
          <w:sz w:val="24"/>
          <w:szCs w:val="24"/>
          <w:lang w:val="en-US"/>
        </w:rPr>
        <w:t>ABSTRACT</w:t>
      </w:r>
      <w:r w:rsidR="00941BB6">
        <w:rPr>
          <w:rFonts w:ascii="Times New Roman" w:hAnsi="Times New Roman" w:cs="Times New Roman"/>
          <w:sz w:val="24"/>
          <w:szCs w:val="24"/>
          <w:lang w:val="en-US"/>
        </w:rPr>
        <w:t xml:space="preserve"> </w:t>
      </w:r>
    </w:p>
    <w:p w14:paraId="15C361AE" w14:textId="002B6513" w:rsidR="00903A85" w:rsidRPr="001B28DA" w:rsidRDefault="00941BB6" w:rsidP="00903A85">
      <w:pPr>
        <w:rPr>
          <w:rFonts w:ascii="Times New Roman" w:hAnsi="Times New Roman" w:cs="Times New Roman"/>
          <w:sz w:val="24"/>
          <w:szCs w:val="24"/>
          <w:lang w:val="en-US"/>
        </w:rPr>
      </w:pPr>
      <w:r>
        <w:rPr>
          <w:rFonts w:ascii="Times New Roman" w:hAnsi="Times New Roman" w:cs="Times New Roman"/>
          <w:sz w:val="24"/>
          <w:szCs w:val="24"/>
          <w:lang w:val="en-US"/>
        </w:rPr>
        <w:t>(</w:t>
      </w:r>
      <w:r w:rsidRPr="00941BB6">
        <w:rPr>
          <w:rFonts w:ascii="Times New Roman" w:hAnsi="Times New Roman" w:cs="Times New Roman"/>
          <w:sz w:val="20"/>
          <w:szCs w:val="20"/>
        </w:rPr>
        <w:t>Provide a structured summary of the study</w:t>
      </w:r>
      <w:r>
        <w:rPr>
          <w:rFonts w:ascii="Times New Roman" w:hAnsi="Times New Roman" w:cs="Times New Roman"/>
          <w:sz w:val="20"/>
          <w:szCs w:val="20"/>
        </w:rPr>
        <w:t xml:space="preserve">. </w:t>
      </w:r>
      <w:r w:rsidRPr="00941BB6">
        <w:rPr>
          <w:rFonts w:ascii="Times New Roman" w:hAnsi="Times New Roman" w:cs="Times New Roman"/>
          <w:sz w:val="20"/>
          <w:szCs w:val="20"/>
        </w:rPr>
        <w:t>Ensure consistency with the main text. Avoid undefined abbreviations and do not include references.</w:t>
      </w:r>
      <w:r>
        <w:rPr>
          <w:rFonts w:ascii="Times New Roman" w:hAnsi="Times New Roman" w:cs="Times New Roman"/>
          <w:sz w:val="20"/>
          <w:szCs w:val="20"/>
        </w:rPr>
        <w:t>)</w:t>
      </w:r>
    </w:p>
    <w:p w14:paraId="3256A14D" w14:textId="38E28908" w:rsidR="00495E0A" w:rsidRDefault="00903A85" w:rsidP="00903A85">
      <w:pPr>
        <w:spacing w:after="0" w:line="240" w:lineRule="auto"/>
        <w:rPr>
          <w:rFonts w:ascii="Times New Roman" w:hAnsi="Times New Roman" w:cs="Times New Roman"/>
          <w:sz w:val="20"/>
          <w:szCs w:val="20"/>
        </w:rPr>
      </w:pPr>
      <w:r w:rsidRPr="001B28DA">
        <w:rPr>
          <w:rFonts w:ascii="Times New Roman" w:hAnsi="Times New Roman" w:cs="Times New Roman"/>
          <w:sz w:val="24"/>
          <w:szCs w:val="24"/>
          <w:lang w:val="en-US"/>
        </w:rPr>
        <w:t>Introduction:</w:t>
      </w:r>
      <w:r w:rsidRPr="001B28DA">
        <w:rPr>
          <w:rFonts w:ascii="Times New Roman" w:hAnsi="Times New Roman" w:cs="Times New Roman"/>
          <w:b/>
          <w:bCs/>
          <w:sz w:val="24"/>
          <w:szCs w:val="24"/>
          <w:lang w:val="en-US"/>
        </w:rPr>
        <w:t xml:space="preserve"> </w:t>
      </w:r>
    </w:p>
    <w:p w14:paraId="504E75AF" w14:textId="77777777" w:rsidR="007D2A41" w:rsidRDefault="007D2A41" w:rsidP="000353FF">
      <w:pPr>
        <w:spacing w:after="0" w:line="240" w:lineRule="auto"/>
        <w:rPr>
          <w:rFonts w:ascii="Times New Roman" w:hAnsi="Times New Roman" w:cs="Times New Roman"/>
          <w:sz w:val="20"/>
          <w:szCs w:val="20"/>
        </w:rPr>
      </w:pPr>
    </w:p>
    <w:p w14:paraId="68CE92EA" w14:textId="0D873D1D" w:rsidR="00E313FE" w:rsidRDefault="00903A85" w:rsidP="000353FF">
      <w:pPr>
        <w:spacing w:after="0" w:line="240" w:lineRule="auto"/>
        <w:rPr>
          <w:rFonts w:ascii="Times New Roman" w:hAnsi="Times New Roman" w:cs="Times New Roman"/>
          <w:sz w:val="24"/>
          <w:szCs w:val="24"/>
        </w:rPr>
      </w:pPr>
      <w:r w:rsidRPr="001B28DA">
        <w:rPr>
          <w:rFonts w:ascii="Times New Roman" w:hAnsi="Times New Roman" w:cs="Times New Roman"/>
          <w:sz w:val="24"/>
          <w:szCs w:val="24"/>
          <w:lang w:val="en-US"/>
        </w:rPr>
        <w:t>Aim:</w:t>
      </w:r>
      <w:r w:rsidRPr="001B28DA">
        <w:rPr>
          <w:rFonts w:ascii="Times New Roman" w:hAnsi="Times New Roman" w:cs="Times New Roman"/>
          <w:sz w:val="24"/>
          <w:szCs w:val="24"/>
        </w:rPr>
        <w:t xml:space="preserve"> </w:t>
      </w:r>
    </w:p>
    <w:p w14:paraId="74A889F4" w14:textId="77777777" w:rsidR="00E313FE" w:rsidRPr="00E313FE" w:rsidRDefault="00E313FE" w:rsidP="000353FF">
      <w:pPr>
        <w:spacing w:after="0" w:line="240" w:lineRule="auto"/>
        <w:rPr>
          <w:rFonts w:ascii="Times New Roman" w:hAnsi="Times New Roman" w:cs="Times New Roman"/>
          <w:sz w:val="24"/>
          <w:szCs w:val="24"/>
        </w:rPr>
      </w:pPr>
    </w:p>
    <w:p w14:paraId="03E042F0" w14:textId="45019408" w:rsidR="00E313FE" w:rsidRDefault="00E313FE" w:rsidP="00E313FE">
      <w:pPr>
        <w:spacing w:after="0" w:line="240" w:lineRule="auto"/>
        <w:rPr>
          <w:rFonts w:ascii="Times New Roman" w:hAnsi="Times New Roman" w:cs="Times New Roman"/>
          <w:sz w:val="20"/>
          <w:szCs w:val="20"/>
        </w:rPr>
      </w:pPr>
      <w:r>
        <w:rPr>
          <w:rFonts w:ascii="Times New Roman" w:hAnsi="Times New Roman" w:cs="Times New Roman"/>
          <w:sz w:val="24"/>
          <w:szCs w:val="24"/>
          <w:lang w:val="en-US"/>
        </w:rPr>
        <w:t>Material and methods</w:t>
      </w:r>
      <w:r w:rsidRPr="001B28DA">
        <w:rPr>
          <w:rFonts w:ascii="Times New Roman" w:hAnsi="Times New Roman" w:cs="Times New Roman"/>
          <w:sz w:val="24"/>
          <w:szCs w:val="24"/>
          <w:lang w:val="en-US"/>
        </w:rPr>
        <w:t>:</w:t>
      </w:r>
      <w:r w:rsidRPr="001B28DA">
        <w:rPr>
          <w:rFonts w:ascii="Times New Roman" w:hAnsi="Times New Roman" w:cs="Times New Roman"/>
          <w:b/>
          <w:bCs/>
          <w:sz w:val="24"/>
          <w:szCs w:val="24"/>
          <w:lang w:val="en-US"/>
        </w:rPr>
        <w:t xml:space="preserve"> </w:t>
      </w:r>
    </w:p>
    <w:p w14:paraId="77028BE1" w14:textId="77777777" w:rsidR="00697790" w:rsidRPr="005A223C" w:rsidRDefault="00697790" w:rsidP="000353FF">
      <w:pPr>
        <w:spacing w:after="0" w:line="240" w:lineRule="auto"/>
        <w:rPr>
          <w:rFonts w:ascii="Times New Roman" w:hAnsi="Times New Roman" w:cs="Times New Roman"/>
          <w:sz w:val="20"/>
          <w:szCs w:val="20"/>
        </w:rPr>
      </w:pPr>
    </w:p>
    <w:p w14:paraId="31987CB0" w14:textId="46B48279" w:rsidR="007D2A41" w:rsidRDefault="00903A85" w:rsidP="00432577">
      <w:pPr>
        <w:tabs>
          <w:tab w:val="left" w:pos="720"/>
          <w:tab w:val="left" w:pos="1440"/>
          <w:tab w:val="left" w:pos="2160"/>
          <w:tab w:val="left" w:pos="2556"/>
        </w:tabs>
        <w:spacing w:after="0" w:line="240" w:lineRule="auto"/>
        <w:rPr>
          <w:rFonts w:ascii="Times New Roman" w:hAnsi="Times New Roman" w:cs="Times New Roman"/>
          <w:sz w:val="24"/>
          <w:szCs w:val="24"/>
          <w:lang w:val="en-US"/>
        </w:rPr>
      </w:pPr>
      <w:r w:rsidRPr="001B28DA">
        <w:rPr>
          <w:rFonts w:ascii="Times New Roman" w:hAnsi="Times New Roman" w:cs="Times New Roman"/>
          <w:sz w:val="24"/>
          <w:szCs w:val="24"/>
          <w:lang w:val="en-US"/>
        </w:rPr>
        <w:t>Results</w:t>
      </w:r>
      <w:r w:rsidR="00432577">
        <w:rPr>
          <w:rFonts w:ascii="Times New Roman" w:hAnsi="Times New Roman" w:cs="Times New Roman"/>
          <w:sz w:val="24"/>
          <w:szCs w:val="24"/>
          <w:lang w:val="en-US"/>
        </w:rPr>
        <w:t>:</w:t>
      </w:r>
    </w:p>
    <w:p w14:paraId="2E27C4C5" w14:textId="77777777" w:rsidR="00432577" w:rsidRPr="005A223C" w:rsidRDefault="00432577" w:rsidP="00432577">
      <w:pPr>
        <w:tabs>
          <w:tab w:val="left" w:pos="720"/>
          <w:tab w:val="left" w:pos="1440"/>
          <w:tab w:val="left" w:pos="2160"/>
          <w:tab w:val="left" w:pos="2556"/>
        </w:tabs>
        <w:spacing w:after="0" w:line="240" w:lineRule="auto"/>
        <w:rPr>
          <w:rFonts w:ascii="Times New Roman" w:hAnsi="Times New Roman" w:cs="Times New Roman"/>
          <w:b/>
          <w:bCs/>
          <w:sz w:val="20"/>
          <w:szCs w:val="20"/>
        </w:rPr>
      </w:pPr>
    </w:p>
    <w:p w14:paraId="1C8C057D" w14:textId="15FE2BAF" w:rsidR="00DC16BE" w:rsidRPr="005A223C" w:rsidRDefault="00903A85" w:rsidP="000353FF">
      <w:pPr>
        <w:spacing w:after="0" w:line="240" w:lineRule="auto"/>
        <w:rPr>
          <w:rFonts w:ascii="Times New Roman" w:hAnsi="Times New Roman" w:cs="Times New Roman"/>
          <w:sz w:val="20"/>
          <w:szCs w:val="20"/>
        </w:rPr>
      </w:pPr>
      <w:r w:rsidRPr="001B28DA">
        <w:rPr>
          <w:rFonts w:ascii="Times New Roman" w:hAnsi="Times New Roman" w:cs="Times New Roman"/>
          <w:sz w:val="24"/>
          <w:szCs w:val="24"/>
          <w:lang w:val="en-US"/>
        </w:rPr>
        <w:t>Conclusions:</w:t>
      </w:r>
      <w:r w:rsidRPr="001B28DA">
        <w:rPr>
          <w:rFonts w:ascii="Times New Roman" w:hAnsi="Times New Roman" w:cs="Times New Roman"/>
          <w:sz w:val="24"/>
          <w:szCs w:val="24"/>
        </w:rPr>
        <w:t xml:space="preserve"> </w:t>
      </w:r>
    </w:p>
    <w:p w14:paraId="1951B041" w14:textId="13BDEB24" w:rsidR="00DC16BE" w:rsidRPr="005A223C" w:rsidRDefault="00DC16BE" w:rsidP="000353FF">
      <w:pPr>
        <w:spacing w:after="0" w:line="240" w:lineRule="auto"/>
        <w:rPr>
          <w:rFonts w:ascii="Times New Roman" w:hAnsi="Times New Roman" w:cs="Times New Roman"/>
          <w:sz w:val="20"/>
          <w:szCs w:val="20"/>
          <w:lang w:val="en-US"/>
        </w:rPr>
      </w:pPr>
    </w:p>
    <w:p w14:paraId="0959F9D1" w14:textId="77777777" w:rsidR="00903A85" w:rsidRPr="005A223C" w:rsidRDefault="00903A85" w:rsidP="00903A85">
      <w:pPr>
        <w:spacing w:after="0" w:line="240" w:lineRule="auto"/>
        <w:rPr>
          <w:rFonts w:ascii="Times New Roman" w:hAnsi="Times New Roman" w:cs="Times New Roman"/>
          <w:sz w:val="20"/>
          <w:szCs w:val="20"/>
          <w:lang w:val="en-US"/>
        </w:rPr>
      </w:pPr>
    </w:p>
    <w:p w14:paraId="768A2938" w14:textId="47CC19A0" w:rsidR="00B20396" w:rsidRPr="005A223C" w:rsidRDefault="00B20396" w:rsidP="000353FF">
      <w:pPr>
        <w:spacing w:after="0" w:line="240" w:lineRule="auto"/>
        <w:rPr>
          <w:rFonts w:ascii="Times New Roman" w:hAnsi="Times New Roman" w:cs="Times New Roman"/>
          <w:sz w:val="20"/>
          <w:szCs w:val="20"/>
          <w:lang w:val="en-US"/>
        </w:rPr>
      </w:pPr>
    </w:p>
    <w:p w14:paraId="1710DD9C" w14:textId="403AF39B" w:rsidR="00B20396" w:rsidRPr="00B111DE" w:rsidRDefault="00B111DE" w:rsidP="00941BB6">
      <w:pPr>
        <w:pStyle w:val="Akapitzlist"/>
        <w:numPr>
          <w:ilvl w:val="0"/>
          <w:numId w:val="7"/>
        </w:numPr>
        <w:jc w:val="both"/>
        <w:rPr>
          <w:rFonts w:ascii="Times New Roman" w:hAnsi="Times New Roman" w:cs="Times New Roman"/>
          <w:b/>
          <w:bCs/>
          <w:sz w:val="28"/>
          <w:szCs w:val="28"/>
          <w:lang w:val="en-US"/>
        </w:rPr>
      </w:pPr>
      <w:r w:rsidRPr="001B28DA">
        <w:rPr>
          <w:rFonts w:ascii="Times New Roman" w:hAnsi="Times New Roman" w:cs="Times New Roman"/>
          <w:b/>
          <w:bCs/>
          <w:sz w:val="28"/>
          <w:szCs w:val="28"/>
        </w:rPr>
        <w:t>INTRODUCTION</w:t>
      </w:r>
    </w:p>
    <w:p w14:paraId="7F57B96A" w14:textId="4877E344" w:rsidR="00D30971" w:rsidRDefault="00E313FE" w:rsidP="00941BB6">
      <w:pPr>
        <w:spacing w:after="0" w:line="240" w:lineRule="auto"/>
        <w:jc w:val="both"/>
        <w:rPr>
          <w:rFonts w:ascii="Times New Roman" w:hAnsi="Times New Roman" w:cs="Times New Roman"/>
          <w:sz w:val="20"/>
          <w:szCs w:val="20"/>
        </w:rPr>
      </w:pPr>
      <w:r w:rsidRPr="00E313FE">
        <w:rPr>
          <w:rFonts w:ascii="Times New Roman" w:hAnsi="Times New Roman" w:cs="Times New Roman"/>
          <w:sz w:val="20"/>
          <w:szCs w:val="20"/>
        </w:rPr>
        <w:t>Briefly outline the background and current state of knowledge, focusing only on the most relevant information. Clearly identify the knowledge gap and justify the need for the study. Avoid detailed results or an extensive literature discussion.</w:t>
      </w:r>
    </w:p>
    <w:p w14:paraId="28C3491E" w14:textId="77777777" w:rsidR="00E313FE" w:rsidRPr="005A223C" w:rsidRDefault="00E313FE" w:rsidP="00941BB6">
      <w:pPr>
        <w:spacing w:after="0" w:line="240" w:lineRule="auto"/>
        <w:jc w:val="both"/>
        <w:rPr>
          <w:rFonts w:ascii="Times New Roman" w:hAnsi="Times New Roman" w:cs="Times New Roman"/>
          <w:b/>
          <w:bCs/>
          <w:sz w:val="20"/>
          <w:szCs w:val="20"/>
          <w:lang w:val="en-US"/>
        </w:rPr>
      </w:pPr>
    </w:p>
    <w:p w14:paraId="135F8C46" w14:textId="77777777" w:rsidR="00B111DE" w:rsidRPr="005E3F20" w:rsidRDefault="00B111DE" w:rsidP="00941BB6">
      <w:pPr>
        <w:pStyle w:val="Akapitzlist"/>
        <w:numPr>
          <w:ilvl w:val="0"/>
          <w:numId w:val="7"/>
        </w:numPr>
        <w:jc w:val="both"/>
        <w:rPr>
          <w:rFonts w:ascii="Times New Roman" w:hAnsi="Times New Roman" w:cs="Times New Roman"/>
          <w:b/>
          <w:bCs/>
          <w:sz w:val="28"/>
          <w:szCs w:val="28"/>
        </w:rPr>
      </w:pPr>
      <w:r w:rsidRPr="005E3F20">
        <w:rPr>
          <w:rFonts w:ascii="Times New Roman" w:hAnsi="Times New Roman" w:cs="Times New Roman"/>
          <w:b/>
          <w:bCs/>
          <w:sz w:val="28"/>
          <w:szCs w:val="28"/>
        </w:rPr>
        <w:t>AIM</w:t>
      </w:r>
    </w:p>
    <w:p w14:paraId="5EE11E1A" w14:textId="7CBF5DEC" w:rsidR="00B111DE" w:rsidRPr="00941BB6" w:rsidRDefault="00E313FE" w:rsidP="00941BB6">
      <w:pPr>
        <w:spacing w:after="0" w:line="240" w:lineRule="auto"/>
        <w:jc w:val="both"/>
        <w:rPr>
          <w:rFonts w:ascii="Times New Roman" w:hAnsi="Times New Roman" w:cs="Times New Roman"/>
          <w:sz w:val="20"/>
          <w:szCs w:val="20"/>
        </w:rPr>
      </w:pPr>
      <w:r w:rsidRPr="00E313FE">
        <w:rPr>
          <w:rFonts w:ascii="Times New Roman" w:hAnsi="Times New Roman" w:cs="Times New Roman"/>
          <w:sz w:val="20"/>
          <w:szCs w:val="20"/>
        </w:rPr>
        <w:t xml:space="preserve">State the objective of the study clearly and precisely. </w:t>
      </w:r>
      <w:r w:rsidRPr="00941BB6">
        <w:rPr>
          <w:rFonts w:ascii="Times New Roman" w:hAnsi="Times New Roman" w:cs="Times New Roman"/>
          <w:sz w:val="20"/>
          <w:szCs w:val="20"/>
        </w:rPr>
        <w:t xml:space="preserve">Define the primary </w:t>
      </w:r>
      <w:r w:rsidR="00941BB6">
        <w:rPr>
          <w:rFonts w:ascii="Times New Roman" w:hAnsi="Times New Roman" w:cs="Times New Roman"/>
          <w:sz w:val="20"/>
          <w:szCs w:val="20"/>
        </w:rPr>
        <w:t>aim</w:t>
      </w:r>
      <w:r w:rsidRPr="00941BB6">
        <w:rPr>
          <w:rFonts w:ascii="Times New Roman" w:hAnsi="Times New Roman" w:cs="Times New Roman"/>
          <w:sz w:val="20"/>
          <w:szCs w:val="20"/>
        </w:rPr>
        <w:t xml:space="preserve"> and include secondary </w:t>
      </w:r>
      <w:r w:rsidR="00941BB6">
        <w:rPr>
          <w:rFonts w:ascii="Times New Roman" w:hAnsi="Times New Roman" w:cs="Times New Roman"/>
          <w:sz w:val="20"/>
          <w:szCs w:val="20"/>
        </w:rPr>
        <w:t>aims</w:t>
      </w:r>
      <w:r w:rsidRPr="00941BB6">
        <w:rPr>
          <w:rFonts w:ascii="Times New Roman" w:hAnsi="Times New Roman" w:cs="Times New Roman"/>
          <w:sz w:val="20"/>
          <w:szCs w:val="20"/>
        </w:rPr>
        <w:t xml:space="preserve"> if applicable. The aim should be directly testable and aligned with the results.</w:t>
      </w:r>
    </w:p>
    <w:p w14:paraId="2009E2BA" w14:textId="77777777" w:rsidR="00E313FE" w:rsidRPr="00E313FE" w:rsidRDefault="00E313FE" w:rsidP="00941BB6">
      <w:pPr>
        <w:spacing w:after="0" w:line="240" w:lineRule="auto"/>
        <w:jc w:val="both"/>
        <w:rPr>
          <w:rFonts w:ascii="Times New Roman" w:hAnsi="Times New Roman" w:cs="Times New Roman"/>
          <w:b/>
          <w:bCs/>
          <w:sz w:val="20"/>
          <w:szCs w:val="20"/>
        </w:rPr>
      </w:pPr>
    </w:p>
    <w:p w14:paraId="711A9403" w14:textId="3D34D350" w:rsidR="00E313FE" w:rsidRPr="00E313FE" w:rsidRDefault="00E313FE" w:rsidP="00941BB6">
      <w:pPr>
        <w:pStyle w:val="Akapitzlist"/>
        <w:numPr>
          <w:ilvl w:val="0"/>
          <w:numId w:val="7"/>
        </w:numPr>
        <w:jc w:val="both"/>
        <w:rPr>
          <w:rFonts w:ascii="Times New Roman" w:hAnsi="Times New Roman" w:cs="Times New Roman"/>
          <w:b/>
          <w:bCs/>
          <w:sz w:val="28"/>
          <w:szCs w:val="28"/>
        </w:rPr>
      </w:pPr>
      <w:r>
        <w:rPr>
          <w:rFonts w:ascii="Times New Roman" w:hAnsi="Times New Roman" w:cs="Times New Roman"/>
          <w:b/>
          <w:bCs/>
          <w:sz w:val="28"/>
          <w:szCs w:val="28"/>
        </w:rPr>
        <w:t>MATERIAL AND METHODS</w:t>
      </w:r>
    </w:p>
    <w:p w14:paraId="41AC2A2C" w14:textId="0EA02980" w:rsidR="00E313FE" w:rsidRDefault="00E313FE" w:rsidP="00941BB6">
      <w:pPr>
        <w:spacing w:after="0" w:line="240" w:lineRule="auto"/>
        <w:jc w:val="both"/>
        <w:rPr>
          <w:rFonts w:ascii="Times New Roman" w:hAnsi="Times New Roman" w:cs="Times New Roman"/>
          <w:sz w:val="20"/>
          <w:szCs w:val="20"/>
        </w:rPr>
      </w:pPr>
      <w:r w:rsidRPr="00E313FE">
        <w:rPr>
          <w:rFonts w:ascii="Times New Roman" w:hAnsi="Times New Roman" w:cs="Times New Roman"/>
          <w:sz w:val="20"/>
          <w:szCs w:val="20"/>
        </w:rPr>
        <w:t xml:space="preserve">Describe the study design, setting, and population (including inclusion/exclusion criteria). Provide details on interventions/exposures, outcome measures, and data collection. Clearly specify statistical methods (including tests used, assumptions checked, and significance level). Include ethical approval and </w:t>
      </w:r>
      <w:r>
        <w:rPr>
          <w:rFonts w:ascii="Times New Roman" w:hAnsi="Times New Roman" w:cs="Times New Roman"/>
          <w:sz w:val="20"/>
          <w:szCs w:val="20"/>
        </w:rPr>
        <w:t xml:space="preserve">blinded </w:t>
      </w:r>
      <w:r w:rsidRPr="00E313FE">
        <w:rPr>
          <w:rFonts w:ascii="Times New Roman" w:hAnsi="Times New Roman" w:cs="Times New Roman"/>
          <w:sz w:val="20"/>
          <w:szCs w:val="20"/>
        </w:rPr>
        <w:t xml:space="preserve">consent where applicable. </w:t>
      </w:r>
    </w:p>
    <w:p w14:paraId="1805C14A" w14:textId="77777777" w:rsidR="00E313FE" w:rsidRPr="00E313FE" w:rsidRDefault="00E313FE" w:rsidP="00941BB6">
      <w:pPr>
        <w:spacing w:after="0" w:line="240" w:lineRule="auto"/>
        <w:jc w:val="both"/>
        <w:rPr>
          <w:rFonts w:ascii="Times New Roman" w:hAnsi="Times New Roman" w:cs="Times New Roman"/>
          <w:sz w:val="20"/>
          <w:szCs w:val="20"/>
        </w:rPr>
      </w:pPr>
    </w:p>
    <w:p w14:paraId="09E7800B" w14:textId="12B3622C" w:rsidR="00E313FE" w:rsidRPr="001B28DA" w:rsidRDefault="00941BB6" w:rsidP="00941BB6">
      <w:pPr>
        <w:pStyle w:val="Akapitzlist"/>
        <w:numPr>
          <w:ilvl w:val="0"/>
          <w:numId w:val="7"/>
        </w:numPr>
        <w:jc w:val="both"/>
        <w:rPr>
          <w:rFonts w:ascii="Times New Roman" w:hAnsi="Times New Roman" w:cs="Times New Roman"/>
          <w:b/>
          <w:bCs/>
          <w:sz w:val="28"/>
          <w:szCs w:val="28"/>
        </w:rPr>
      </w:pPr>
      <w:r>
        <w:rPr>
          <w:rFonts w:ascii="Times New Roman" w:hAnsi="Times New Roman" w:cs="Times New Roman"/>
          <w:b/>
          <w:bCs/>
          <w:sz w:val="28"/>
          <w:szCs w:val="28"/>
        </w:rPr>
        <w:t>RESULTS</w:t>
      </w:r>
    </w:p>
    <w:p w14:paraId="740E2A65" w14:textId="4E689BEA" w:rsidR="005879E4" w:rsidRDefault="00E313FE" w:rsidP="00941BB6">
      <w:pPr>
        <w:spacing w:after="0" w:line="240" w:lineRule="auto"/>
        <w:jc w:val="both"/>
        <w:rPr>
          <w:rFonts w:ascii="Times New Roman" w:hAnsi="Times New Roman" w:cs="Times New Roman"/>
          <w:sz w:val="20"/>
          <w:szCs w:val="20"/>
        </w:rPr>
      </w:pPr>
      <w:r w:rsidRPr="00941BB6">
        <w:rPr>
          <w:rFonts w:ascii="Times New Roman" w:hAnsi="Times New Roman" w:cs="Times New Roman"/>
          <w:sz w:val="20"/>
          <w:szCs w:val="20"/>
        </w:rPr>
        <w:t>Present findings only, without interpretation. Report data consistently (e.g., mean ± SD or median [IQR]) and include appropriate statistical tests with p-values.</w:t>
      </w:r>
      <w:r w:rsidRPr="00E313FE">
        <w:rPr>
          <w:rFonts w:ascii="Times New Roman" w:hAnsi="Times New Roman" w:cs="Times New Roman"/>
          <w:sz w:val="20"/>
          <w:szCs w:val="20"/>
        </w:rPr>
        <w:t xml:space="preserve"> Do not duplicate data from tables or figures—highlight only the key findings</w:t>
      </w:r>
      <w:r>
        <w:rPr>
          <w:rFonts w:ascii="Times New Roman" w:hAnsi="Times New Roman" w:cs="Times New Roman"/>
          <w:sz w:val="20"/>
          <w:szCs w:val="20"/>
        </w:rPr>
        <w:t>.</w:t>
      </w:r>
    </w:p>
    <w:p w14:paraId="36BE75E6" w14:textId="77777777" w:rsidR="00941BB6" w:rsidRPr="005A223C" w:rsidRDefault="00941BB6" w:rsidP="00941BB6">
      <w:pPr>
        <w:spacing w:after="0" w:line="240" w:lineRule="auto"/>
        <w:jc w:val="both"/>
        <w:rPr>
          <w:rFonts w:ascii="Times New Roman" w:hAnsi="Times New Roman" w:cs="Times New Roman"/>
          <w:sz w:val="20"/>
          <w:szCs w:val="20"/>
          <w:lang w:val="en-US"/>
        </w:rPr>
      </w:pPr>
    </w:p>
    <w:p w14:paraId="3B3FE136" w14:textId="3A5692A0" w:rsidR="00941BB6" w:rsidRPr="00941BB6" w:rsidRDefault="00941BB6" w:rsidP="00941BB6">
      <w:pPr>
        <w:spacing w:after="0" w:line="240" w:lineRule="auto"/>
        <w:jc w:val="both"/>
        <w:rPr>
          <w:rFonts w:ascii="Times New Roman" w:hAnsi="Times New Roman" w:cs="Times New Roman"/>
          <w:sz w:val="20"/>
          <w:szCs w:val="20"/>
          <w:lang w:val="en-US"/>
        </w:rPr>
      </w:pPr>
      <w:r w:rsidRPr="00941BB6">
        <w:rPr>
          <w:rFonts w:ascii="Times New Roman" w:hAnsi="Times New Roman" w:cs="Times New Roman"/>
          <w:sz w:val="20"/>
          <w:szCs w:val="20"/>
          <w:lang w:val="en-US"/>
        </w:rPr>
        <w:t>All tables and figures must be placed in the appropriate locations within the main text (not at the end of the manuscript). Each table and figure should be clearly cited in the text and accompanied by a concise, self-explanatory caption</w:t>
      </w:r>
      <w:r>
        <w:rPr>
          <w:rFonts w:ascii="Times New Roman" w:hAnsi="Times New Roman" w:cs="Times New Roman"/>
          <w:sz w:val="20"/>
          <w:szCs w:val="20"/>
          <w:lang w:val="en-US"/>
        </w:rPr>
        <w:t xml:space="preserve">, e.g. Table 1 </w:t>
      </w:r>
      <w:proofErr w:type="gramStart"/>
      <w:r>
        <w:rPr>
          <w:rFonts w:ascii="Times New Roman" w:hAnsi="Times New Roman" w:cs="Times New Roman"/>
          <w:sz w:val="20"/>
          <w:szCs w:val="20"/>
          <w:lang w:val="en-US"/>
        </w:rPr>
        <w:t>or ,</w:t>
      </w:r>
      <w:proofErr w:type="gramEnd"/>
      <w:r>
        <w:rPr>
          <w:rFonts w:ascii="Times New Roman" w:hAnsi="Times New Roman" w:cs="Times New Roman"/>
          <w:sz w:val="20"/>
          <w:szCs w:val="20"/>
          <w:lang w:val="en-US"/>
        </w:rPr>
        <w:t xml:space="preserve"> Figure 1.</w:t>
      </w:r>
    </w:p>
    <w:p w14:paraId="24152583" w14:textId="77777777" w:rsidR="00C73AF9" w:rsidRPr="005A223C" w:rsidRDefault="00C73AF9" w:rsidP="00941BB6">
      <w:pPr>
        <w:spacing w:after="0" w:line="240" w:lineRule="auto"/>
        <w:jc w:val="both"/>
        <w:rPr>
          <w:rFonts w:ascii="Times New Roman" w:hAnsi="Times New Roman" w:cs="Times New Roman"/>
          <w:b/>
          <w:bCs/>
          <w:sz w:val="20"/>
          <w:szCs w:val="20"/>
          <w:lang w:val="en-US"/>
        </w:rPr>
      </w:pPr>
    </w:p>
    <w:p w14:paraId="39D6AC4A" w14:textId="1CAFB3B4" w:rsidR="00C372BC" w:rsidRPr="00B111DE" w:rsidRDefault="00B111DE" w:rsidP="00941BB6">
      <w:pPr>
        <w:pStyle w:val="Akapitzlist"/>
        <w:numPr>
          <w:ilvl w:val="0"/>
          <w:numId w:val="7"/>
        </w:numPr>
        <w:jc w:val="both"/>
        <w:rPr>
          <w:rFonts w:ascii="Times New Roman" w:hAnsi="Times New Roman" w:cs="Times New Roman"/>
          <w:b/>
          <w:bCs/>
          <w:sz w:val="28"/>
          <w:szCs w:val="28"/>
        </w:rPr>
      </w:pPr>
      <w:r w:rsidRPr="001B28DA">
        <w:rPr>
          <w:rFonts w:ascii="Times New Roman" w:hAnsi="Times New Roman" w:cs="Times New Roman"/>
          <w:b/>
          <w:bCs/>
          <w:sz w:val="28"/>
          <w:szCs w:val="28"/>
        </w:rPr>
        <w:t>DISCUSSION</w:t>
      </w:r>
    </w:p>
    <w:p w14:paraId="7163ED0D" w14:textId="2D60F63D" w:rsidR="005155EB" w:rsidRPr="00941BB6" w:rsidRDefault="00941BB6" w:rsidP="00941BB6">
      <w:pPr>
        <w:spacing w:after="0" w:line="240" w:lineRule="auto"/>
        <w:jc w:val="both"/>
        <w:rPr>
          <w:rFonts w:ascii="Times New Roman" w:hAnsi="Times New Roman" w:cs="Times New Roman"/>
          <w:sz w:val="20"/>
          <w:szCs w:val="20"/>
          <w:lang w:val="en-US"/>
        </w:rPr>
      </w:pPr>
      <w:r w:rsidRPr="00941BB6">
        <w:rPr>
          <w:rFonts w:ascii="Times New Roman" w:hAnsi="Times New Roman" w:cs="Times New Roman"/>
          <w:sz w:val="20"/>
          <w:szCs w:val="20"/>
        </w:rPr>
        <w:t>Interpret the results in the context of existing literature. Compare findings with previous studies, explain possible mechanisms, and discuss clinical relevance. Clearly state the study limitations. Do not introduce new results.</w:t>
      </w:r>
    </w:p>
    <w:bookmarkEnd w:id="0"/>
    <w:p w14:paraId="268BE13D" w14:textId="00E97875" w:rsidR="00627554" w:rsidRPr="00B111DE" w:rsidRDefault="00627554" w:rsidP="00941BB6">
      <w:pPr>
        <w:spacing w:after="0" w:line="240" w:lineRule="auto"/>
        <w:jc w:val="both"/>
        <w:rPr>
          <w:rFonts w:ascii="Times New Roman" w:hAnsi="Times New Roman" w:cs="Times New Roman"/>
          <w:b/>
          <w:bCs/>
          <w:sz w:val="20"/>
          <w:szCs w:val="20"/>
          <w:lang w:val="en-US"/>
        </w:rPr>
      </w:pPr>
    </w:p>
    <w:p w14:paraId="423E6960" w14:textId="77777777" w:rsidR="00B111DE" w:rsidRPr="00F070C2" w:rsidRDefault="00B111DE" w:rsidP="00941BB6">
      <w:pPr>
        <w:pStyle w:val="Akapitzlist"/>
        <w:numPr>
          <w:ilvl w:val="0"/>
          <w:numId w:val="7"/>
        </w:numPr>
        <w:jc w:val="both"/>
        <w:rPr>
          <w:rFonts w:ascii="Times New Roman" w:hAnsi="Times New Roman" w:cs="Times New Roman"/>
          <w:b/>
          <w:bCs/>
          <w:sz w:val="28"/>
          <w:szCs w:val="28"/>
        </w:rPr>
      </w:pPr>
      <w:r w:rsidRPr="00F070C2">
        <w:rPr>
          <w:rFonts w:ascii="Times New Roman" w:hAnsi="Times New Roman" w:cs="Times New Roman"/>
          <w:b/>
          <w:bCs/>
          <w:sz w:val="28"/>
          <w:szCs w:val="28"/>
        </w:rPr>
        <w:t>CONCLUSION</w:t>
      </w:r>
    </w:p>
    <w:p w14:paraId="264BEE00" w14:textId="7EB4F629" w:rsidR="006D4485" w:rsidRDefault="00941BB6" w:rsidP="00941BB6">
      <w:pPr>
        <w:spacing w:line="240" w:lineRule="auto"/>
        <w:jc w:val="both"/>
        <w:rPr>
          <w:rFonts w:ascii="Times New Roman" w:hAnsi="Times New Roman" w:cs="Times New Roman"/>
          <w:sz w:val="20"/>
          <w:szCs w:val="20"/>
        </w:rPr>
      </w:pPr>
      <w:r w:rsidRPr="00941BB6">
        <w:rPr>
          <w:rFonts w:ascii="Times New Roman" w:hAnsi="Times New Roman" w:cs="Times New Roman"/>
          <w:sz w:val="20"/>
          <w:szCs w:val="20"/>
        </w:rPr>
        <w:t>Provide a concise answer to the study aim. Avoid repeating the discussion. Highlight clinical implications or future directions only if they are directly supported by the data.</w:t>
      </w:r>
    </w:p>
    <w:p w14:paraId="4EBC59DC" w14:textId="77777777" w:rsidR="00941BB6" w:rsidRDefault="00941BB6" w:rsidP="00941BB6">
      <w:pPr>
        <w:spacing w:line="240" w:lineRule="auto"/>
        <w:jc w:val="both"/>
        <w:rPr>
          <w:rFonts w:ascii="Times New Roman" w:hAnsi="Times New Roman" w:cs="Times New Roman"/>
          <w:sz w:val="20"/>
          <w:szCs w:val="20"/>
        </w:rPr>
      </w:pPr>
    </w:p>
    <w:p w14:paraId="0E2C9B5C" w14:textId="77777777" w:rsidR="00941BB6" w:rsidRPr="005A223C" w:rsidRDefault="00941BB6" w:rsidP="00941BB6">
      <w:pPr>
        <w:spacing w:line="240" w:lineRule="auto"/>
        <w:jc w:val="both"/>
        <w:rPr>
          <w:rFonts w:ascii="Times New Roman" w:hAnsi="Times New Roman" w:cs="Times New Roman"/>
          <w:sz w:val="20"/>
          <w:szCs w:val="20"/>
        </w:rPr>
      </w:pPr>
    </w:p>
    <w:p w14:paraId="61E62991" w14:textId="0B45FCF9" w:rsidR="001D0C3F" w:rsidRDefault="00941BB6" w:rsidP="007A6140">
      <w:pPr>
        <w:spacing w:line="240" w:lineRule="auto"/>
        <w:rPr>
          <w:rFonts w:ascii="Times New Roman" w:hAnsi="Times New Roman" w:cs="Times New Roman"/>
          <w:color w:val="000000" w:themeColor="text1"/>
          <w:sz w:val="20"/>
          <w:szCs w:val="20"/>
        </w:rPr>
      </w:pPr>
      <w:r w:rsidRPr="00941BB6">
        <w:rPr>
          <w:rFonts w:ascii="Times New Roman" w:hAnsi="Times New Roman" w:cs="Times New Roman"/>
          <w:b/>
          <w:bCs/>
          <w:color w:val="000000" w:themeColor="text1"/>
          <w:sz w:val="20"/>
          <w:szCs w:val="20"/>
        </w:rPr>
        <w:lastRenderedPageBreak/>
        <w:t>Ethics approval</w:t>
      </w:r>
      <w:r w:rsidRPr="00941BB6">
        <w:rPr>
          <w:rFonts w:ascii="Times New Roman" w:hAnsi="Times New Roman" w:cs="Times New Roman"/>
          <w:b/>
          <w:bCs/>
          <w:color w:val="000000" w:themeColor="text1"/>
          <w:sz w:val="20"/>
          <w:szCs w:val="20"/>
        </w:rPr>
        <w:br/>
      </w:r>
      <w:r w:rsidRPr="00941BB6">
        <w:rPr>
          <w:rFonts w:ascii="Times New Roman" w:hAnsi="Times New Roman" w:cs="Times New Roman"/>
          <w:color w:val="000000" w:themeColor="text1"/>
          <w:sz w:val="20"/>
          <w:szCs w:val="20"/>
        </w:rPr>
        <w:t>All procedures performed in studies involving human participants were conducted in accordance with institutional ethics committee standards and the Declaration of Helsinki.</w:t>
      </w:r>
      <w:r w:rsidRPr="00941BB6">
        <w:rPr>
          <w:rFonts w:ascii="Times New Roman" w:hAnsi="Times New Roman" w:cs="Times New Roman"/>
          <w:b/>
          <w:bCs/>
          <w:color w:val="000000" w:themeColor="text1"/>
          <w:sz w:val="20"/>
          <w:szCs w:val="20"/>
        </w:rPr>
        <w:br/>
      </w:r>
      <w:r w:rsidRPr="00941BB6">
        <w:rPr>
          <w:rFonts w:ascii="Times New Roman" w:hAnsi="Times New Roman" w:cs="Times New Roman"/>
          <w:b/>
          <w:bCs/>
          <w:color w:val="000000" w:themeColor="text1"/>
          <w:sz w:val="20"/>
          <w:szCs w:val="20"/>
        </w:rPr>
        <w:br/>
        <w:t>Informed consent</w:t>
      </w:r>
      <w:r w:rsidRPr="00941BB6">
        <w:rPr>
          <w:rFonts w:ascii="Times New Roman" w:hAnsi="Times New Roman" w:cs="Times New Roman"/>
          <w:b/>
          <w:bCs/>
          <w:color w:val="000000" w:themeColor="text1"/>
          <w:sz w:val="20"/>
          <w:szCs w:val="20"/>
        </w:rPr>
        <w:br/>
      </w:r>
      <w:r w:rsidRPr="00941BB6">
        <w:rPr>
          <w:rFonts w:ascii="Times New Roman" w:hAnsi="Times New Roman" w:cs="Times New Roman"/>
          <w:color w:val="000000" w:themeColor="text1"/>
          <w:sz w:val="20"/>
          <w:szCs w:val="20"/>
        </w:rPr>
        <w:t>Informed consent was obtained from all participants included in the study.</w:t>
      </w:r>
      <w:r w:rsidRPr="00941BB6">
        <w:rPr>
          <w:rFonts w:ascii="Times New Roman" w:hAnsi="Times New Roman" w:cs="Times New Roman"/>
          <w:b/>
          <w:bCs/>
          <w:color w:val="000000" w:themeColor="text1"/>
          <w:sz w:val="20"/>
          <w:szCs w:val="20"/>
        </w:rPr>
        <w:br/>
      </w:r>
      <w:r w:rsidRPr="00941BB6">
        <w:rPr>
          <w:rFonts w:ascii="Times New Roman" w:hAnsi="Times New Roman" w:cs="Times New Roman"/>
          <w:b/>
          <w:bCs/>
          <w:color w:val="000000" w:themeColor="text1"/>
          <w:sz w:val="20"/>
          <w:szCs w:val="20"/>
        </w:rPr>
        <w:br/>
        <w:t>Conflict of Interest</w:t>
      </w:r>
      <w:r w:rsidRPr="00941BB6">
        <w:rPr>
          <w:rFonts w:ascii="Times New Roman" w:hAnsi="Times New Roman" w:cs="Times New Roman"/>
          <w:b/>
          <w:bCs/>
          <w:color w:val="000000" w:themeColor="text1"/>
          <w:sz w:val="20"/>
          <w:szCs w:val="20"/>
        </w:rPr>
        <w:br/>
      </w:r>
      <w:r w:rsidRPr="00941BB6">
        <w:rPr>
          <w:rFonts w:ascii="Times New Roman" w:hAnsi="Times New Roman" w:cs="Times New Roman"/>
          <w:color w:val="000000" w:themeColor="text1"/>
          <w:sz w:val="20"/>
          <w:szCs w:val="20"/>
        </w:rPr>
        <w:t>The authors declare no conflict of interest.</w:t>
      </w:r>
      <w:r w:rsidRPr="00941BB6">
        <w:rPr>
          <w:rFonts w:ascii="Times New Roman" w:hAnsi="Times New Roman" w:cs="Times New Roman"/>
          <w:color w:val="000000" w:themeColor="text1"/>
          <w:sz w:val="20"/>
          <w:szCs w:val="20"/>
        </w:rPr>
        <w:br/>
      </w:r>
      <w:r w:rsidRPr="00941BB6">
        <w:rPr>
          <w:rFonts w:ascii="Times New Roman" w:hAnsi="Times New Roman" w:cs="Times New Roman"/>
          <w:b/>
          <w:bCs/>
          <w:color w:val="000000" w:themeColor="text1"/>
          <w:sz w:val="20"/>
          <w:szCs w:val="20"/>
        </w:rPr>
        <w:br/>
        <w:t>Funding</w:t>
      </w:r>
      <w:r w:rsidRPr="00941BB6">
        <w:rPr>
          <w:rFonts w:ascii="Times New Roman" w:hAnsi="Times New Roman" w:cs="Times New Roman"/>
          <w:b/>
          <w:bCs/>
          <w:color w:val="000000" w:themeColor="text1"/>
          <w:sz w:val="20"/>
          <w:szCs w:val="20"/>
        </w:rPr>
        <w:br/>
      </w:r>
      <w:r w:rsidRPr="00941BB6">
        <w:rPr>
          <w:rFonts w:ascii="Times New Roman" w:hAnsi="Times New Roman" w:cs="Times New Roman"/>
          <w:color w:val="000000" w:themeColor="text1"/>
          <w:sz w:val="20"/>
          <w:szCs w:val="20"/>
        </w:rPr>
        <w:t>This study was supported by [Funding Agency, Grant number].</w:t>
      </w:r>
      <w:r w:rsidRPr="00941BB6">
        <w:rPr>
          <w:rFonts w:ascii="Times New Roman" w:hAnsi="Times New Roman" w:cs="Times New Roman"/>
          <w:color w:val="000000" w:themeColor="text1"/>
          <w:sz w:val="20"/>
          <w:szCs w:val="20"/>
        </w:rPr>
        <w:br/>
      </w:r>
      <w:r w:rsidRPr="00941BB6">
        <w:rPr>
          <w:rFonts w:ascii="Times New Roman" w:hAnsi="Times New Roman" w:cs="Times New Roman"/>
          <w:b/>
          <w:bCs/>
          <w:color w:val="000000" w:themeColor="text1"/>
          <w:sz w:val="20"/>
          <w:szCs w:val="20"/>
        </w:rPr>
        <w:br/>
        <w:t>Author Contributions</w:t>
      </w:r>
      <w:r w:rsidRPr="00941BB6">
        <w:rPr>
          <w:rFonts w:ascii="Times New Roman" w:hAnsi="Times New Roman" w:cs="Times New Roman"/>
          <w:b/>
          <w:bCs/>
          <w:color w:val="000000" w:themeColor="text1"/>
          <w:sz w:val="20"/>
          <w:szCs w:val="20"/>
        </w:rPr>
        <w:br/>
      </w:r>
      <w:r w:rsidRPr="00941BB6">
        <w:rPr>
          <w:rFonts w:ascii="Times New Roman" w:hAnsi="Times New Roman" w:cs="Times New Roman"/>
          <w:color w:val="000000" w:themeColor="text1"/>
          <w:sz w:val="20"/>
          <w:szCs w:val="20"/>
        </w:rPr>
        <w:t>Authors must specify individual contributions according to ICMJE criteria.</w:t>
      </w:r>
      <w:r w:rsidRPr="00941BB6">
        <w:rPr>
          <w:rFonts w:ascii="Times New Roman" w:hAnsi="Times New Roman" w:cs="Times New Roman"/>
          <w:color w:val="000000" w:themeColor="text1"/>
          <w:sz w:val="20"/>
          <w:szCs w:val="20"/>
        </w:rPr>
        <w:br/>
        <w:t>Example:</w:t>
      </w:r>
      <w:r w:rsidRPr="00941BB6">
        <w:rPr>
          <w:rFonts w:ascii="Times New Roman" w:hAnsi="Times New Roman" w:cs="Times New Roman"/>
          <w:color w:val="000000" w:themeColor="text1"/>
          <w:sz w:val="20"/>
          <w:szCs w:val="20"/>
        </w:rPr>
        <w:br/>
        <w:t>Conceptualization: XX</w:t>
      </w:r>
      <w:r w:rsidRPr="00941BB6">
        <w:rPr>
          <w:rFonts w:ascii="Times New Roman" w:hAnsi="Times New Roman" w:cs="Times New Roman"/>
          <w:color w:val="000000" w:themeColor="text1"/>
          <w:sz w:val="20"/>
          <w:szCs w:val="20"/>
        </w:rPr>
        <w:br/>
        <w:t>Data collection: YY</w:t>
      </w:r>
      <w:r w:rsidRPr="00941BB6">
        <w:rPr>
          <w:rFonts w:ascii="Times New Roman" w:hAnsi="Times New Roman" w:cs="Times New Roman"/>
          <w:color w:val="000000" w:themeColor="text1"/>
          <w:sz w:val="20"/>
          <w:szCs w:val="20"/>
        </w:rPr>
        <w:br/>
        <w:t>Analysis: YY</w:t>
      </w:r>
      <w:r w:rsidRPr="00941BB6">
        <w:rPr>
          <w:rFonts w:ascii="Times New Roman" w:hAnsi="Times New Roman" w:cs="Times New Roman"/>
          <w:color w:val="000000" w:themeColor="text1"/>
          <w:sz w:val="20"/>
          <w:szCs w:val="20"/>
        </w:rPr>
        <w:br/>
        <w:t>Manuscript preparation: XX</w:t>
      </w:r>
      <w:r w:rsidRPr="00941BB6">
        <w:rPr>
          <w:rFonts w:ascii="Times New Roman" w:hAnsi="Times New Roman" w:cs="Times New Roman"/>
          <w:color w:val="000000" w:themeColor="text1"/>
          <w:sz w:val="20"/>
          <w:szCs w:val="20"/>
        </w:rPr>
        <w:br/>
        <w:t>Supervision: XX</w:t>
      </w:r>
    </w:p>
    <w:p w14:paraId="375A7E23" w14:textId="77777777" w:rsidR="00941BB6" w:rsidRPr="00941BB6" w:rsidRDefault="00941BB6" w:rsidP="007A6140">
      <w:pPr>
        <w:spacing w:line="240" w:lineRule="auto"/>
        <w:rPr>
          <w:rFonts w:ascii="Times New Roman" w:hAnsi="Times New Roman" w:cs="Times New Roman"/>
          <w:b/>
          <w:bCs/>
          <w:color w:val="000000" w:themeColor="text1"/>
          <w:sz w:val="20"/>
          <w:szCs w:val="20"/>
        </w:rPr>
      </w:pPr>
    </w:p>
    <w:p w14:paraId="76EFEE7C" w14:textId="6A0AC46E" w:rsidR="001565B2" w:rsidRPr="00B111DE" w:rsidRDefault="00B111DE" w:rsidP="00B111DE">
      <w:pPr>
        <w:spacing w:after="240"/>
        <w:jc w:val="both"/>
        <w:rPr>
          <w:rFonts w:ascii="Times New Roman" w:hAnsi="Times New Roman" w:cs="Times New Roman"/>
          <w:lang w:val="en-US"/>
        </w:rPr>
      </w:pPr>
      <w:r w:rsidRPr="00B12574">
        <w:rPr>
          <w:rFonts w:ascii="Times New Roman" w:hAnsi="Times New Roman" w:cs="Times New Roman"/>
          <w:b/>
          <w:sz w:val="28"/>
          <w:szCs w:val="28"/>
          <w:lang w:val="en-US"/>
        </w:rPr>
        <w:t>References</w:t>
      </w:r>
    </w:p>
    <w:p w14:paraId="5CE910F9" w14:textId="1C4A9004" w:rsidR="008A62D8" w:rsidRPr="003C2117" w:rsidRDefault="00941BB6" w:rsidP="00941BB6">
      <w:pPr>
        <w:pStyle w:val="Akapitzlist"/>
        <w:numPr>
          <w:ilvl w:val="0"/>
          <w:numId w:val="8"/>
        </w:numPr>
        <w:spacing w:line="240" w:lineRule="auto"/>
      </w:pPr>
      <w:proofErr w:type="spellStart"/>
      <w:r w:rsidRPr="00941BB6">
        <w:t>Salwachter</w:t>
      </w:r>
      <w:proofErr w:type="spellEnd"/>
      <w:r w:rsidRPr="00941BB6">
        <w:t xml:space="preserve"> AR, </w:t>
      </w:r>
      <w:proofErr w:type="spellStart"/>
      <w:r w:rsidRPr="00941BB6">
        <w:t>Freischlag</w:t>
      </w:r>
      <w:proofErr w:type="spellEnd"/>
      <w:r w:rsidRPr="00941BB6">
        <w:t xml:space="preserve"> JA, Sawyer RG, </w:t>
      </w:r>
      <w:proofErr w:type="spellStart"/>
      <w:r w:rsidRPr="00941BB6">
        <w:t>Sanfey</w:t>
      </w:r>
      <w:proofErr w:type="spellEnd"/>
      <w:r w:rsidRPr="00941BB6">
        <w:t xml:space="preserve"> HA. The training needs and priorities of male and female surgeons and their trainees. J Am Coll Surg. 2005;201(10):199–205.</w:t>
      </w:r>
    </w:p>
    <w:sectPr w:rsidR="008A62D8" w:rsidRPr="003C2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351FE"/>
    <w:multiLevelType w:val="hybridMultilevel"/>
    <w:tmpl w:val="A4700F88"/>
    <w:lvl w:ilvl="0" w:tplc="15D63076">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58B0165"/>
    <w:multiLevelType w:val="hybridMultilevel"/>
    <w:tmpl w:val="509CD846"/>
    <w:lvl w:ilvl="0" w:tplc="4409000F">
      <w:start w:val="8"/>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5E855B5"/>
    <w:multiLevelType w:val="hybridMultilevel"/>
    <w:tmpl w:val="6CBA84E8"/>
    <w:lvl w:ilvl="0" w:tplc="519434E8">
      <w:start w:val="1"/>
      <w:numFmt w:val="decimal"/>
      <w:lvlText w:val="%1."/>
      <w:lvlJc w:val="left"/>
      <w:pPr>
        <w:tabs>
          <w:tab w:val="num" w:pos="720"/>
        </w:tabs>
        <w:ind w:left="720" w:hanging="360"/>
      </w:pPr>
    </w:lvl>
    <w:lvl w:ilvl="1" w:tplc="2D02ED04" w:tentative="1">
      <w:start w:val="1"/>
      <w:numFmt w:val="decimal"/>
      <w:lvlText w:val="%2."/>
      <w:lvlJc w:val="left"/>
      <w:pPr>
        <w:tabs>
          <w:tab w:val="num" w:pos="1440"/>
        </w:tabs>
        <w:ind w:left="1440" w:hanging="360"/>
      </w:pPr>
    </w:lvl>
    <w:lvl w:ilvl="2" w:tplc="43686658" w:tentative="1">
      <w:start w:val="1"/>
      <w:numFmt w:val="decimal"/>
      <w:lvlText w:val="%3."/>
      <w:lvlJc w:val="left"/>
      <w:pPr>
        <w:tabs>
          <w:tab w:val="num" w:pos="2160"/>
        </w:tabs>
        <w:ind w:left="2160" w:hanging="360"/>
      </w:pPr>
    </w:lvl>
    <w:lvl w:ilvl="3" w:tplc="A3BAC534" w:tentative="1">
      <w:start w:val="1"/>
      <w:numFmt w:val="decimal"/>
      <w:lvlText w:val="%4."/>
      <w:lvlJc w:val="left"/>
      <w:pPr>
        <w:tabs>
          <w:tab w:val="num" w:pos="2880"/>
        </w:tabs>
        <w:ind w:left="2880" w:hanging="360"/>
      </w:pPr>
    </w:lvl>
    <w:lvl w:ilvl="4" w:tplc="DB40AD98" w:tentative="1">
      <w:start w:val="1"/>
      <w:numFmt w:val="decimal"/>
      <w:lvlText w:val="%5."/>
      <w:lvlJc w:val="left"/>
      <w:pPr>
        <w:tabs>
          <w:tab w:val="num" w:pos="3600"/>
        </w:tabs>
        <w:ind w:left="3600" w:hanging="360"/>
      </w:pPr>
    </w:lvl>
    <w:lvl w:ilvl="5" w:tplc="498E4764" w:tentative="1">
      <w:start w:val="1"/>
      <w:numFmt w:val="decimal"/>
      <w:lvlText w:val="%6."/>
      <w:lvlJc w:val="left"/>
      <w:pPr>
        <w:tabs>
          <w:tab w:val="num" w:pos="4320"/>
        </w:tabs>
        <w:ind w:left="4320" w:hanging="360"/>
      </w:pPr>
    </w:lvl>
    <w:lvl w:ilvl="6" w:tplc="2E40BBDE" w:tentative="1">
      <w:start w:val="1"/>
      <w:numFmt w:val="decimal"/>
      <w:lvlText w:val="%7."/>
      <w:lvlJc w:val="left"/>
      <w:pPr>
        <w:tabs>
          <w:tab w:val="num" w:pos="5040"/>
        </w:tabs>
        <w:ind w:left="5040" w:hanging="360"/>
      </w:pPr>
    </w:lvl>
    <w:lvl w:ilvl="7" w:tplc="D10EC754" w:tentative="1">
      <w:start w:val="1"/>
      <w:numFmt w:val="decimal"/>
      <w:lvlText w:val="%8."/>
      <w:lvlJc w:val="left"/>
      <w:pPr>
        <w:tabs>
          <w:tab w:val="num" w:pos="5760"/>
        </w:tabs>
        <w:ind w:left="5760" w:hanging="360"/>
      </w:pPr>
    </w:lvl>
    <w:lvl w:ilvl="8" w:tplc="6F963F9C" w:tentative="1">
      <w:start w:val="1"/>
      <w:numFmt w:val="decimal"/>
      <w:lvlText w:val="%9."/>
      <w:lvlJc w:val="left"/>
      <w:pPr>
        <w:tabs>
          <w:tab w:val="num" w:pos="6480"/>
        </w:tabs>
        <w:ind w:left="6480" w:hanging="360"/>
      </w:pPr>
    </w:lvl>
  </w:abstractNum>
  <w:abstractNum w:abstractNumId="3" w15:restartNumberingAfterBreak="0">
    <w:nsid w:val="62326005"/>
    <w:multiLevelType w:val="hybridMultilevel"/>
    <w:tmpl w:val="36663192"/>
    <w:lvl w:ilvl="0" w:tplc="44090019">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65193277"/>
    <w:multiLevelType w:val="hybridMultilevel"/>
    <w:tmpl w:val="00180B70"/>
    <w:lvl w:ilvl="0" w:tplc="4409000F">
      <w:start w:val="7"/>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6D6163C8"/>
    <w:multiLevelType w:val="hybridMultilevel"/>
    <w:tmpl w:val="0D26CF8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71407A6A"/>
    <w:multiLevelType w:val="hybridMultilevel"/>
    <w:tmpl w:val="75860558"/>
    <w:lvl w:ilvl="0" w:tplc="5B6EF3CC">
      <w:start w:val="1"/>
      <w:numFmt w:val="decimal"/>
      <w:lvlText w:val="%1"/>
      <w:lvlJc w:val="left"/>
      <w:pPr>
        <w:ind w:left="720" w:hanging="360"/>
      </w:pPr>
      <w:rPr>
        <w:rFonts w:ascii="Times New Roman" w:eastAsiaTheme="minorEastAsia" w:hAnsi="Times New Roman" w:cs="Times New Roman"/>
        <w:vertAlign w:val="superscrip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7AD75BF7"/>
    <w:multiLevelType w:val="hybridMultilevel"/>
    <w:tmpl w:val="D832788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207526953">
    <w:abstractNumId w:val="3"/>
  </w:num>
  <w:num w:numId="2" w16cid:durableId="727654090">
    <w:abstractNumId w:val="2"/>
  </w:num>
  <w:num w:numId="3" w16cid:durableId="568881831">
    <w:abstractNumId w:val="1"/>
  </w:num>
  <w:num w:numId="4" w16cid:durableId="151337462">
    <w:abstractNumId w:val="4"/>
  </w:num>
  <w:num w:numId="5" w16cid:durableId="639850612">
    <w:abstractNumId w:val="7"/>
  </w:num>
  <w:num w:numId="6" w16cid:durableId="140125859">
    <w:abstractNumId w:val="6"/>
  </w:num>
  <w:num w:numId="7" w16cid:durableId="1390418254">
    <w:abstractNumId w:val="5"/>
  </w:num>
  <w:num w:numId="8" w16cid:durableId="817497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C87"/>
    <w:rsid w:val="00015D54"/>
    <w:rsid w:val="0003407C"/>
    <w:rsid w:val="00034390"/>
    <w:rsid w:val="000353FF"/>
    <w:rsid w:val="0005283C"/>
    <w:rsid w:val="00054587"/>
    <w:rsid w:val="0006515D"/>
    <w:rsid w:val="00074CAB"/>
    <w:rsid w:val="00075AD7"/>
    <w:rsid w:val="00082240"/>
    <w:rsid w:val="00085115"/>
    <w:rsid w:val="00086BC0"/>
    <w:rsid w:val="000A6834"/>
    <w:rsid w:val="000B7EFF"/>
    <w:rsid w:val="000D5B06"/>
    <w:rsid w:val="000E78A5"/>
    <w:rsid w:val="000F279C"/>
    <w:rsid w:val="000F79AD"/>
    <w:rsid w:val="00110DA3"/>
    <w:rsid w:val="001130B8"/>
    <w:rsid w:val="001320FF"/>
    <w:rsid w:val="00132EDF"/>
    <w:rsid w:val="001565B2"/>
    <w:rsid w:val="001749D2"/>
    <w:rsid w:val="001975BE"/>
    <w:rsid w:val="001A12B3"/>
    <w:rsid w:val="001D0A22"/>
    <w:rsid w:val="001D0C3F"/>
    <w:rsid w:val="001E29A1"/>
    <w:rsid w:val="001E551C"/>
    <w:rsid w:val="001E5FC9"/>
    <w:rsid w:val="001E7816"/>
    <w:rsid w:val="001F1E43"/>
    <w:rsid w:val="001F23C6"/>
    <w:rsid w:val="001F2DA3"/>
    <w:rsid w:val="00207CE8"/>
    <w:rsid w:val="00226212"/>
    <w:rsid w:val="00231A81"/>
    <w:rsid w:val="00247F68"/>
    <w:rsid w:val="0027461C"/>
    <w:rsid w:val="002765F5"/>
    <w:rsid w:val="00281B04"/>
    <w:rsid w:val="00282911"/>
    <w:rsid w:val="002C182A"/>
    <w:rsid w:val="002C6A83"/>
    <w:rsid w:val="002D3A3A"/>
    <w:rsid w:val="002F09E6"/>
    <w:rsid w:val="003149A5"/>
    <w:rsid w:val="00322D65"/>
    <w:rsid w:val="0033256E"/>
    <w:rsid w:val="003466EC"/>
    <w:rsid w:val="00364FEF"/>
    <w:rsid w:val="00365AE1"/>
    <w:rsid w:val="00392ADC"/>
    <w:rsid w:val="003A7B40"/>
    <w:rsid w:val="003C2117"/>
    <w:rsid w:val="003D444D"/>
    <w:rsid w:val="003D78C6"/>
    <w:rsid w:val="00406902"/>
    <w:rsid w:val="00432577"/>
    <w:rsid w:val="00435F8E"/>
    <w:rsid w:val="004910DC"/>
    <w:rsid w:val="00495E0A"/>
    <w:rsid w:val="004C2950"/>
    <w:rsid w:val="004D0313"/>
    <w:rsid w:val="004F216E"/>
    <w:rsid w:val="004F279C"/>
    <w:rsid w:val="00503560"/>
    <w:rsid w:val="0050689A"/>
    <w:rsid w:val="00506E22"/>
    <w:rsid w:val="005155EB"/>
    <w:rsid w:val="00521E35"/>
    <w:rsid w:val="00533168"/>
    <w:rsid w:val="00544040"/>
    <w:rsid w:val="00545CBE"/>
    <w:rsid w:val="0055271B"/>
    <w:rsid w:val="00582009"/>
    <w:rsid w:val="005823C2"/>
    <w:rsid w:val="005879E4"/>
    <w:rsid w:val="00587AF2"/>
    <w:rsid w:val="0059179D"/>
    <w:rsid w:val="005A223C"/>
    <w:rsid w:val="005C35B2"/>
    <w:rsid w:val="00600181"/>
    <w:rsid w:val="006101D8"/>
    <w:rsid w:val="00627554"/>
    <w:rsid w:val="00630676"/>
    <w:rsid w:val="006348BB"/>
    <w:rsid w:val="00681F8D"/>
    <w:rsid w:val="00692815"/>
    <w:rsid w:val="00697790"/>
    <w:rsid w:val="006B668F"/>
    <w:rsid w:val="006C54C7"/>
    <w:rsid w:val="006D4485"/>
    <w:rsid w:val="006D47C0"/>
    <w:rsid w:val="006E04F2"/>
    <w:rsid w:val="006E73F6"/>
    <w:rsid w:val="006F7E3F"/>
    <w:rsid w:val="00701164"/>
    <w:rsid w:val="0071118C"/>
    <w:rsid w:val="00714189"/>
    <w:rsid w:val="007167B1"/>
    <w:rsid w:val="00716AF9"/>
    <w:rsid w:val="007179D3"/>
    <w:rsid w:val="00727C9E"/>
    <w:rsid w:val="00765BBE"/>
    <w:rsid w:val="007A05F3"/>
    <w:rsid w:val="007A6140"/>
    <w:rsid w:val="007C0C4F"/>
    <w:rsid w:val="007C43A8"/>
    <w:rsid w:val="007D2A41"/>
    <w:rsid w:val="00805742"/>
    <w:rsid w:val="0081419F"/>
    <w:rsid w:val="00821AA0"/>
    <w:rsid w:val="008274E2"/>
    <w:rsid w:val="00833041"/>
    <w:rsid w:val="00840D7B"/>
    <w:rsid w:val="00861C87"/>
    <w:rsid w:val="00891D17"/>
    <w:rsid w:val="0089539D"/>
    <w:rsid w:val="008A62D8"/>
    <w:rsid w:val="008B099B"/>
    <w:rsid w:val="008B44C4"/>
    <w:rsid w:val="008B4EF1"/>
    <w:rsid w:val="008C148C"/>
    <w:rsid w:val="008C5D2F"/>
    <w:rsid w:val="008D75A2"/>
    <w:rsid w:val="008F5CCB"/>
    <w:rsid w:val="00903A85"/>
    <w:rsid w:val="0090527C"/>
    <w:rsid w:val="009170B6"/>
    <w:rsid w:val="00924C19"/>
    <w:rsid w:val="00937ACB"/>
    <w:rsid w:val="00941BB6"/>
    <w:rsid w:val="00955A7A"/>
    <w:rsid w:val="00966F51"/>
    <w:rsid w:val="00967FF8"/>
    <w:rsid w:val="009A2FC6"/>
    <w:rsid w:val="009A7756"/>
    <w:rsid w:val="009C0CDC"/>
    <w:rsid w:val="009C3733"/>
    <w:rsid w:val="009C4A57"/>
    <w:rsid w:val="009D103E"/>
    <w:rsid w:val="009F4D4A"/>
    <w:rsid w:val="009F5A2A"/>
    <w:rsid w:val="00A22E60"/>
    <w:rsid w:val="00A25679"/>
    <w:rsid w:val="00A342E7"/>
    <w:rsid w:val="00A52C72"/>
    <w:rsid w:val="00A557E1"/>
    <w:rsid w:val="00A826BE"/>
    <w:rsid w:val="00AA799E"/>
    <w:rsid w:val="00AB71BD"/>
    <w:rsid w:val="00AC6685"/>
    <w:rsid w:val="00AD2875"/>
    <w:rsid w:val="00AE0E0E"/>
    <w:rsid w:val="00AF1B08"/>
    <w:rsid w:val="00B111DE"/>
    <w:rsid w:val="00B20396"/>
    <w:rsid w:val="00B26C3B"/>
    <w:rsid w:val="00B341C2"/>
    <w:rsid w:val="00B437D5"/>
    <w:rsid w:val="00B514B3"/>
    <w:rsid w:val="00B76FA4"/>
    <w:rsid w:val="00BA7FBC"/>
    <w:rsid w:val="00BB5DFF"/>
    <w:rsid w:val="00BC16C4"/>
    <w:rsid w:val="00C148A2"/>
    <w:rsid w:val="00C222FC"/>
    <w:rsid w:val="00C372BC"/>
    <w:rsid w:val="00C454B9"/>
    <w:rsid w:val="00C667FC"/>
    <w:rsid w:val="00C73AF9"/>
    <w:rsid w:val="00C942D2"/>
    <w:rsid w:val="00CA44E0"/>
    <w:rsid w:val="00CB124D"/>
    <w:rsid w:val="00CC4A6E"/>
    <w:rsid w:val="00CD279F"/>
    <w:rsid w:val="00CD4D0D"/>
    <w:rsid w:val="00CF0906"/>
    <w:rsid w:val="00D064DB"/>
    <w:rsid w:val="00D2030E"/>
    <w:rsid w:val="00D30971"/>
    <w:rsid w:val="00D35CC5"/>
    <w:rsid w:val="00D63D21"/>
    <w:rsid w:val="00DB5C84"/>
    <w:rsid w:val="00DC0294"/>
    <w:rsid w:val="00DC16BE"/>
    <w:rsid w:val="00DC2F7F"/>
    <w:rsid w:val="00DC6105"/>
    <w:rsid w:val="00DF14F9"/>
    <w:rsid w:val="00E24A2F"/>
    <w:rsid w:val="00E313FE"/>
    <w:rsid w:val="00E45149"/>
    <w:rsid w:val="00E62BD9"/>
    <w:rsid w:val="00E82251"/>
    <w:rsid w:val="00EB297B"/>
    <w:rsid w:val="00EC6043"/>
    <w:rsid w:val="00ED3202"/>
    <w:rsid w:val="00EE0A11"/>
    <w:rsid w:val="00EE25F0"/>
    <w:rsid w:val="00EE5DD5"/>
    <w:rsid w:val="00EF27C6"/>
    <w:rsid w:val="00F16A97"/>
    <w:rsid w:val="00F23218"/>
    <w:rsid w:val="00F3121E"/>
    <w:rsid w:val="00F33845"/>
    <w:rsid w:val="00F3773F"/>
    <w:rsid w:val="00F4354E"/>
    <w:rsid w:val="00F56B36"/>
    <w:rsid w:val="00F60747"/>
    <w:rsid w:val="00F70059"/>
    <w:rsid w:val="00FB172F"/>
    <w:rsid w:val="00FC08C0"/>
    <w:rsid w:val="00FC67D5"/>
    <w:rsid w:val="00FC76D2"/>
    <w:rsid w:val="00FC79F4"/>
    <w:rsid w:val="00FD17F5"/>
    <w:rsid w:val="00FD7A82"/>
    <w:rsid w:val="00FF56C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C2633"/>
  <w15:chartTrackingRefBased/>
  <w15:docId w15:val="{F1D1F5C5-6F3B-4FE4-AADA-2EDDDA574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MY"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B668F"/>
    <w:pPr>
      <w:ind w:left="720"/>
      <w:contextualSpacing/>
    </w:pPr>
  </w:style>
  <w:style w:type="character" w:styleId="Tekstzastpczy">
    <w:name w:val="Placeholder Text"/>
    <w:basedOn w:val="Domylnaczcionkaakapitu"/>
    <w:uiPriority w:val="99"/>
    <w:semiHidden/>
    <w:rsid w:val="00034390"/>
    <w:rPr>
      <w:color w:val="666666"/>
    </w:rPr>
  </w:style>
  <w:style w:type="character" w:styleId="Odwoaniedokomentarza">
    <w:name w:val="annotation reference"/>
    <w:basedOn w:val="Domylnaczcionkaakapitu"/>
    <w:uiPriority w:val="99"/>
    <w:semiHidden/>
    <w:unhideWhenUsed/>
    <w:rsid w:val="00903A85"/>
    <w:rPr>
      <w:sz w:val="16"/>
      <w:szCs w:val="16"/>
    </w:rPr>
  </w:style>
  <w:style w:type="paragraph" w:styleId="Tekstkomentarza">
    <w:name w:val="annotation text"/>
    <w:basedOn w:val="Normalny"/>
    <w:link w:val="TekstkomentarzaZnak"/>
    <w:uiPriority w:val="99"/>
    <w:unhideWhenUsed/>
    <w:rsid w:val="00903A85"/>
    <w:pPr>
      <w:spacing w:line="240" w:lineRule="auto"/>
    </w:pPr>
    <w:rPr>
      <w:rFonts w:eastAsiaTheme="minorHAnsi"/>
      <w:sz w:val="20"/>
      <w:szCs w:val="20"/>
      <w:lang w:val="en-GB" w:eastAsia="en-US"/>
    </w:rPr>
  </w:style>
  <w:style w:type="character" w:customStyle="1" w:styleId="TekstkomentarzaZnak">
    <w:name w:val="Tekst komentarza Znak"/>
    <w:basedOn w:val="Domylnaczcionkaakapitu"/>
    <w:link w:val="Tekstkomentarza"/>
    <w:uiPriority w:val="99"/>
    <w:rsid w:val="00903A85"/>
    <w:rPr>
      <w:rFonts w:eastAsiaTheme="minorHAnsi"/>
      <w:sz w:val="20"/>
      <w:szCs w:val="20"/>
      <w:lang w:val="en-GB" w:eastAsia="en-US"/>
    </w:rPr>
  </w:style>
  <w:style w:type="character" w:styleId="Hipercze">
    <w:name w:val="Hyperlink"/>
    <w:basedOn w:val="Domylnaczcionkaakapitu"/>
    <w:uiPriority w:val="99"/>
    <w:unhideWhenUsed/>
    <w:rsid w:val="00903A85"/>
    <w:rPr>
      <w:color w:val="0563C1" w:themeColor="hyperlink"/>
      <w:u w:val="single"/>
    </w:rPr>
  </w:style>
  <w:style w:type="character" w:styleId="Nierozpoznanawzmianka">
    <w:name w:val="Unresolved Mention"/>
    <w:basedOn w:val="Domylnaczcionkaakapitu"/>
    <w:uiPriority w:val="99"/>
    <w:semiHidden/>
    <w:unhideWhenUsed/>
    <w:rsid w:val="00B11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60880">
      <w:bodyDiv w:val="1"/>
      <w:marLeft w:val="0"/>
      <w:marRight w:val="0"/>
      <w:marTop w:val="0"/>
      <w:marBottom w:val="0"/>
      <w:divBdr>
        <w:top w:val="none" w:sz="0" w:space="0" w:color="auto"/>
        <w:left w:val="none" w:sz="0" w:space="0" w:color="auto"/>
        <w:bottom w:val="none" w:sz="0" w:space="0" w:color="auto"/>
        <w:right w:val="none" w:sz="0" w:space="0" w:color="auto"/>
      </w:divBdr>
      <w:divsChild>
        <w:div w:id="570507113">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249658199">
      <w:bodyDiv w:val="1"/>
      <w:marLeft w:val="0"/>
      <w:marRight w:val="0"/>
      <w:marTop w:val="0"/>
      <w:marBottom w:val="0"/>
      <w:divBdr>
        <w:top w:val="none" w:sz="0" w:space="0" w:color="auto"/>
        <w:left w:val="none" w:sz="0" w:space="0" w:color="auto"/>
        <w:bottom w:val="none" w:sz="0" w:space="0" w:color="auto"/>
        <w:right w:val="none" w:sz="0" w:space="0" w:color="auto"/>
      </w:divBdr>
    </w:div>
    <w:div w:id="314728250">
      <w:bodyDiv w:val="1"/>
      <w:marLeft w:val="0"/>
      <w:marRight w:val="0"/>
      <w:marTop w:val="0"/>
      <w:marBottom w:val="0"/>
      <w:divBdr>
        <w:top w:val="none" w:sz="0" w:space="0" w:color="auto"/>
        <w:left w:val="none" w:sz="0" w:space="0" w:color="auto"/>
        <w:bottom w:val="none" w:sz="0" w:space="0" w:color="auto"/>
        <w:right w:val="none" w:sz="0" w:space="0" w:color="auto"/>
      </w:divBdr>
    </w:div>
    <w:div w:id="346759163">
      <w:bodyDiv w:val="1"/>
      <w:marLeft w:val="0"/>
      <w:marRight w:val="0"/>
      <w:marTop w:val="0"/>
      <w:marBottom w:val="0"/>
      <w:divBdr>
        <w:top w:val="none" w:sz="0" w:space="0" w:color="auto"/>
        <w:left w:val="none" w:sz="0" w:space="0" w:color="auto"/>
        <w:bottom w:val="none" w:sz="0" w:space="0" w:color="auto"/>
        <w:right w:val="none" w:sz="0" w:space="0" w:color="auto"/>
      </w:divBdr>
    </w:div>
    <w:div w:id="351300853">
      <w:bodyDiv w:val="1"/>
      <w:marLeft w:val="0"/>
      <w:marRight w:val="0"/>
      <w:marTop w:val="0"/>
      <w:marBottom w:val="0"/>
      <w:divBdr>
        <w:top w:val="none" w:sz="0" w:space="0" w:color="auto"/>
        <w:left w:val="none" w:sz="0" w:space="0" w:color="auto"/>
        <w:bottom w:val="none" w:sz="0" w:space="0" w:color="auto"/>
        <w:right w:val="none" w:sz="0" w:space="0" w:color="auto"/>
      </w:divBdr>
    </w:div>
    <w:div w:id="594166841">
      <w:bodyDiv w:val="1"/>
      <w:marLeft w:val="0"/>
      <w:marRight w:val="0"/>
      <w:marTop w:val="0"/>
      <w:marBottom w:val="0"/>
      <w:divBdr>
        <w:top w:val="none" w:sz="0" w:space="0" w:color="auto"/>
        <w:left w:val="none" w:sz="0" w:space="0" w:color="auto"/>
        <w:bottom w:val="none" w:sz="0" w:space="0" w:color="auto"/>
        <w:right w:val="none" w:sz="0" w:space="0" w:color="auto"/>
      </w:divBdr>
      <w:divsChild>
        <w:div w:id="60689294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774060875">
      <w:bodyDiv w:val="1"/>
      <w:marLeft w:val="0"/>
      <w:marRight w:val="0"/>
      <w:marTop w:val="0"/>
      <w:marBottom w:val="0"/>
      <w:divBdr>
        <w:top w:val="none" w:sz="0" w:space="0" w:color="auto"/>
        <w:left w:val="none" w:sz="0" w:space="0" w:color="auto"/>
        <w:bottom w:val="none" w:sz="0" w:space="0" w:color="auto"/>
        <w:right w:val="none" w:sz="0" w:space="0" w:color="auto"/>
      </w:divBdr>
    </w:div>
    <w:div w:id="941912142">
      <w:bodyDiv w:val="1"/>
      <w:marLeft w:val="0"/>
      <w:marRight w:val="0"/>
      <w:marTop w:val="0"/>
      <w:marBottom w:val="0"/>
      <w:divBdr>
        <w:top w:val="none" w:sz="0" w:space="0" w:color="auto"/>
        <w:left w:val="none" w:sz="0" w:space="0" w:color="auto"/>
        <w:bottom w:val="none" w:sz="0" w:space="0" w:color="auto"/>
        <w:right w:val="none" w:sz="0" w:space="0" w:color="auto"/>
      </w:divBdr>
      <w:divsChild>
        <w:div w:id="527719629">
          <w:marLeft w:val="0"/>
          <w:marRight w:val="0"/>
          <w:marTop w:val="0"/>
          <w:marBottom w:val="0"/>
          <w:divBdr>
            <w:top w:val="none" w:sz="0" w:space="0" w:color="auto"/>
            <w:left w:val="none" w:sz="0" w:space="0" w:color="auto"/>
            <w:bottom w:val="none" w:sz="0" w:space="0" w:color="auto"/>
            <w:right w:val="none" w:sz="0" w:space="0" w:color="auto"/>
          </w:divBdr>
          <w:divsChild>
            <w:div w:id="1093820467">
              <w:marLeft w:val="0"/>
              <w:marRight w:val="0"/>
              <w:marTop w:val="0"/>
              <w:marBottom w:val="0"/>
              <w:divBdr>
                <w:top w:val="none" w:sz="0" w:space="0" w:color="auto"/>
                <w:left w:val="none" w:sz="0" w:space="0" w:color="auto"/>
                <w:bottom w:val="none" w:sz="0" w:space="0" w:color="auto"/>
                <w:right w:val="none" w:sz="0" w:space="0" w:color="auto"/>
              </w:divBdr>
              <w:divsChild>
                <w:div w:id="819080897">
                  <w:marLeft w:val="0"/>
                  <w:marRight w:val="0"/>
                  <w:marTop w:val="0"/>
                  <w:marBottom w:val="0"/>
                  <w:divBdr>
                    <w:top w:val="none" w:sz="0" w:space="0" w:color="auto"/>
                    <w:left w:val="none" w:sz="0" w:space="0" w:color="auto"/>
                    <w:bottom w:val="none" w:sz="0" w:space="0" w:color="auto"/>
                    <w:right w:val="none" w:sz="0" w:space="0" w:color="auto"/>
                  </w:divBdr>
                  <w:divsChild>
                    <w:div w:id="1561017916">
                      <w:marLeft w:val="0"/>
                      <w:marRight w:val="0"/>
                      <w:marTop w:val="0"/>
                      <w:marBottom w:val="0"/>
                      <w:divBdr>
                        <w:top w:val="none" w:sz="0" w:space="0" w:color="auto"/>
                        <w:left w:val="none" w:sz="0" w:space="0" w:color="auto"/>
                        <w:bottom w:val="none" w:sz="0" w:space="0" w:color="auto"/>
                        <w:right w:val="none" w:sz="0" w:space="0" w:color="auto"/>
                      </w:divBdr>
                      <w:divsChild>
                        <w:div w:id="1013074661">
                          <w:marLeft w:val="0"/>
                          <w:marRight w:val="0"/>
                          <w:marTop w:val="0"/>
                          <w:marBottom w:val="0"/>
                          <w:divBdr>
                            <w:top w:val="none" w:sz="0" w:space="0" w:color="auto"/>
                            <w:left w:val="none" w:sz="0" w:space="0" w:color="auto"/>
                            <w:bottom w:val="none" w:sz="0" w:space="0" w:color="auto"/>
                            <w:right w:val="none" w:sz="0" w:space="0" w:color="auto"/>
                          </w:divBdr>
                          <w:divsChild>
                            <w:div w:id="1949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040612">
      <w:bodyDiv w:val="1"/>
      <w:marLeft w:val="0"/>
      <w:marRight w:val="0"/>
      <w:marTop w:val="0"/>
      <w:marBottom w:val="0"/>
      <w:divBdr>
        <w:top w:val="none" w:sz="0" w:space="0" w:color="auto"/>
        <w:left w:val="none" w:sz="0" w:space="0" w:color="auto"/>
        <w:bottom w:val="none" w:sz="0" w:space="0" w:color="auto"/>
        <w:right w:val="none" w:sz="0" w:space="0" w:color="auto"/>
      </w:divBdr>
    </w:div>
    <w:div w:id="1371152529">
      <w:bodyDiv w:val="1"/>
      <w:marLeft w:val="0"/>
      <w:marRight w:val="0"/>
      <w:marTop w:val="0"/>
      <w:marBottom w:val="0"/>
      <w:divBdr>
        <w:top w:val="none" w:sz="0" w:space="0" w:color="auto"/>
        <w:left w:val="none" w:sz="0" w:space="0" w:color="auto"/>
        <w:bottom w:val="none" w:sz="0" w:space="0" w:color="auto"/>
        <w:right w:val="none" w:sz="0" w:space="0" w:color="auto"/>
      </w:divBdr>
      <w:divsChild>
        <w:div w:id="2031569199">
          <w:marLeft w:val="605"/>
          <w:marRight w:val="0"/>
          <w:marTop w:val="58"/>
          <w:marBottom w:val="0"/>
          <w:divBdr>
            <w:top w:val="none" w:sz="0" w:space="0" w:color="auto"/>
            <w:left w:val="none" w:sz="0" w:space="0" w:color="auto"/>
            <w:bottom w:val="none" w:sz="0" w:space="0" w:color="auto"/>
            <w:right w:val="none" w:sz="0" w:space="0" w:color="auto"/>
          </w:divBdr>
        </w:div>
        <w:div w:id="2082675402">
          <w:marLeft w:val="605"/>
          <w:marRight w:val="0"/>
          <w:marTop w:val="58"/>
          <w:marBottom w:val="0"/>
          <w:divBdr>
            <w:top w:val="none" w:sz="0" w:space="0" w:color="auto"/>
            <w:left w:val="none" w:sz="0" w:space="0" w:color="auto"/>
            <w:bottom w:val="none" w:sz="0" w:space="0" w:color="auto"/>
            <w:right w:val="none" w:sz="0" w:space="0" w:color="auto"/>
          </w:divBdr>
        </w:div>
      </w:divsChild>
    </w:div>
    <w:div w:id="1597322291">
      <w:bodyDiv w:val="1"/>
      <w:marLeft w:val="0"/>
      <w:marRight w:val="0"/>
      <w:marTop w:val="0"/>
      <w:marBottom w:val="0"/>
      <w:divBdr>
        <w:top w:val="none" w:sz="0" w:space="0" w:color="auto"/>
        <w:left w:val="none" w:sz="0" w:space="0" w:color="auto"/>
        <w:bottom w:val="none" w:sz="0" w:space="0" w:color="auto"/>
        <w:right w:val="none" w:sz="0" w:space="0" w:color="auto"/>
      </w:divBdr>
      <w:divsChild>
        <w:div w:id="432289248">
          <w:marLeft w:val="0"/>
          <w:marRight w:val="0"/>
          <w:marTop w:val="0"/>
          <w:marBottom w:val="0"/>
          <w:divBdr>
            <w:top w:val="none" w:sz="0" w:space="0" w:color="auto"/>
            <w:left w:val="none" w:sz="0" w:space="0" w:color="auto"/>
            <w:bottom w:val="none" w:sz="0" w:space="0" w:color="auto"/>
            <w:right w:val="none" w:sz="0" w:space="0" w:color="auto"/>
          </w:divBdr>
          <w:divsChild>
            <w:div w:id="1211263398">
              <w:marLeft w:val="0"/>
              <w:marRight w:val="0"/>
              <w:marTop w:val="0"/>
              <w:marBottom w:val="0"/>
              <w:divBdr>
                <w:top w:val="none" w:sz="0" w:space="0" w:color="auto"/>
                <w:left w:val="none" w:sz="0" w:space="0" w:color="auto"/>
                <w:bottom w:val="none" w:sz="0" w:space="0" w:color="auto"/>
                <w:right w:val="none" w:sz="0" w:space="0" w:color="auto"/>
              </w:divBdr>
              <w:divsChild>
                <w:div w:id="2137408635">
                  <w:marLeft w:val="0"/>
                  <w:marRight w:val="0"/>
                  <w:marTop w:val="0"/>
                  <w:marBottom w:val="0"/>
                  <w:divBdr>
                    <w:top w:val="none" w:sz="0" w:space="0" w:color="auto"/>
                    <w:left w:val="none" w:sz="0" w:space="0" w:color="auto"/>
                    <w:bottom w:val="none" w:sz="0" w:space="0" w:color="auto"/>
                    <w:right w:val="none" w:sz="0" w:space="0" w:color="auto"/>
                  </w:divBdr>
                  <w:divsChild>
                    <w:div w:id="1584535457">
                      <w:marLeft w:val="0"/>
                      <w:marRight w:val="0"/>
                      <w:marTop w:val="0"/>
                      <w:marBottom w:val="0"/>
                      <w:divBdr>
                        <w:top w:val="none" w:sz="0" w:space="0" w:color="auto"/>
                        <w:left w:val="none" w:sz="0" w:space="0" w:color="auto"/>
                        <w:bottom w:val="none" w:sz="0" w:space="0" w:color="auto"/>
                        <w:right w:val="none" w:sz="0" w:space="0" w:color="auto"/>
                      </w:divBdr>
                      <w:divsChild>
                        <w:div w:id="714620898">
                          <w:marLeft w:val="0"/>
                          <w:marRight w:val="0"/>
                          <w:marTop w:val="0"/>
                          <w:marBottom w:val="0"/>
                          <w:divBdr>
                            <w:top w:val="none" w:sz="0" w:space="0" w:color="auto"/>
                            <w:left w:val="none" w:sz="0" w:space="0" w:color="auto"/>
                            <w:bottom w:val="none" w:sz="0" w:space="0" w:color="auto"/>
                            <w:right w:val="none" w:sz="0" w:space="0" w:color="auto"/>
                          </w:divBdr>
                          <w:divsChild>
                            <w:div w:id="8272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456065">
      <w:bodyDiv w:val="1"/>
      <w:marLeft w:val="0"/>
      <w:marRight w:val="0"/>
      <w:marTop w:val="0"/>
      <w:marBottom w:val="0"/>
      <w:divBdr>
        <w:top w:val="none" w:sz="0" w:space="0" w:color="auto"/>
        <w:left w:val="none" w:sz="0" w:space="0" w:color="auto"/>
        <w:bottom w:val="none" w:sz="0" w:space="0" w:color="auto"/>
        <w:right w:val="none" w:sz="0" w:space="0" w:color="auto"/>
      </w:divBdr>
    </w:div>
    <w:div w:id="1712025824">
      <w:bodyDiv w:val="1"/>
      <w:marLeft w:val="0"/>
      <w:marRight w:val="0"/>
      <w:marTop w:val="0"/>
      <w:marBottom w:val="0"/>
      <w:divBdr>
        <w:top w:val="none" w:sz="0" w:space="0" w:color="auto"/>
        <w:left w:val="none" w:sz="0" w:space="0" w:color="auto"/>
        <w:bottom w:val="none" w:sz="0" w:space="0" w:color="auto"/>
        <w:right w:val="none" w:sz="0" w:space="0" w:color="auto"/>
      </w:divBdr>
    </w:div>
    <w:div w:id="1831677926">
      <w:bodyDiv w:val="1"/>
      <w:marLeft w:val="0"/>
      <w:marRight w:val="0"/>
      <w:marTop w:val="0"/>
      <w:marBottom w:val="0"/>
      <w:divBdr>
        <w:top w:val="none" w:sz="0" w:space="0" w:color="auto"/>
        <w:left w:val="none" w:sz="0" w:space="0" w:color="auto"/>
        <w:bottom w:val="none" w:sz="0" w:space="0" w:color="auto"/>
        <w:right w:val="none" w:sz="0" w:space="0" w:color="auto"/>
      </w:divBdr>
      <w:divsChild>
        <w:div w:id="1302227896">
          <w:marLeft w:val="0"/>
          <w:marRight w:val="0"/>
          <w:marTop w:val="0"/>
          <w:marBottom w:val="0"/>
          <w:divBdr>
            <w:top w:val="none" w:sz="0" w:space="0" w:color="auto"/>
            <w:left w:val="none" w:sz="0" w:space="0" w:color="auto"/>
            <w:bottom w:val="none" w:sz="0" w:space="0" w:color="auto"/>
            <w:right w:val="none" w:sz="0" w:space="0" w:color="auto"/>
          </w:divBdr>
        </w:div>
        <w:div w:id="282149535">
          <w:marLeft w:val="0"/>
          <w:marRight w:val="0"/>
          <w:marTop w:val="0"/>
          <w:marBottom w:val="0"/>
          <w:divBdr>
            <w:top w:val="none" w:sz="0" w:space="0" w:color="auto"/>
            <w:left w:val="none" w:sz="0" w:space="0" w:color="auto"/>
            <w:bottom w:val="none" w:sz="0" w:space="0" w:color="auto"/>
            <w:right w:val="none" w:sz="0" w:space="0" w:color="auto"/>
          </w:divBdr>
          <w:divsChild>
            <w:div w:id="682560583">
              <w:marLeft w:val="0"/>
              <w:marRight w:val="0"/>
              <w:marTop w:val="0"/>
              <w:marBottom w:val="0"/>
              <w:divBdr>
                <w:top w:val="single" w:sz="6" w:space="0" w:color="5B616B"/>
                <w:left w:val="single" w:sz="6" w:space="0" w:color="5B616B"/>
                <w:bottom w:val="single" w:sz="6" w:space="0" w:color="5B616B"/>
                <w:right w:val="single" w:sz="6" w:space="0" w:color="5B616B"/>
              </w:divBdr>
            </w:div>
          </w:divsChild>
        </w:div>
      </w:divsChild>
    </w:div>
    <w:div w:id="1888447070">
      <w:bodyDiv w:val="1"/>
      <w:marLeft w:val="0"/>
      <w:marRight w:val="0"/>
      <w:marTop w:val="0"/>
      <w:marBottom w:val="0"/>
      <w:divBdr>
        <w:top w:val="none" w:sz="0" w:space="0" w:color="auto"/>
        <w:left w:val="none" w:sz="0" w:space="0" w:color="auto"/>
        <w:bottom w:val="none" w:sz="0" w:space="0" w:color="auto"/>
        <w:right w:val="none" w:sz="0" w:space="0" w:color="auto"/>
      </w:divBdr>
      <w:divsChild>
        <w:div w:id="1486971123">
          <w:marLeft w:val="547"/>
          <w:marRight w:val="0"/>
          <w:marTop w:val="0"/>
          <w:marBottom w:val="0"/>
          <w:divBdr>
            <w:top w:val="none" w:sz="0" w:space="0" w:color="auto"/>
            <w:left w:val="none" w:sz="0" w:space="0" w:color="auto"/>
            <w:bottom w:val="none" w:sz="0" w:space="0" w:color="auto"/>
            <w:right w:val="none" w:sz="0" w:space="0" w:color="auto"/>
          </w:divBdr>
        </w:div>
      </w:divsChild>
    </w:div>
    <w:div w:id="1943561858">
      <w:bodyDiv w:val="1"/>
      <w:marLeft w:val="0"/>
      <w:marRight w:val="0"/>
      <w:marTop w:val="0"/>
      <w:marBottom w:val="0"/>
      <w:divBdr>
        <w:top w:val="none" w:sz="0" w:space="0" w:color="auto"/>
        <w:left w:val="none" w:sz="0" w:space="0" w:color="auto"/>
        <w:bottom w:val="none" w:sz="0" w:space="0" w:color="auto"/>
        <w:right w:val="none" w:sz="0" w:space="0" w:color="auto"/>
      </w:divBdr>
    </w:div>
    <w:div w:id="200613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B632AA-6D40-4742-8319-B6EC4CB7C991}">
  <we:reference id="f78a3046-9e99-4300-aa2b-5814002b01a2" version="1.55.1.0" store="EXCatalog" storeType="EXCatalog"/>
  <we:alternateReferences>
    <we:reference id="WA104382081" version="1.55.1.0" store="en-MY" storeType="OMEX"/>
  </we:alternateReferences>
  <we:properties>
    <we:property name="MENDELEY_CITATIONS" value="[{&quot;citationID&quot;:&quot;MENDELEY_CITATION_69e2c3f0-eda8-4dab-aef9-25c96f9260f7&quot;,&quot;properties&quot;:{&quot;noteIndex&quot;:0},&quot;isEdited&quot;:false,&quot;manualOverride&quot;:{&quot;isManuallyOverridden&quot;:false,&quot;citeprocText&quot;:&quot;(1)&quot;,&quot;manualOverrideText&quot;:&quot;&quot;},&quot;citationTag&quot;:&quot;MENDELEY_CITATION_v3_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&quot;,&quot;citationItems&quot;:[{&quot;id&quot;:&quot;94b9d765-7cd8-3752-b58d-c84c999b881e&quot;,&quot;itemData&quot;:{&quot;type&quot;:&quot;article-journal&quot;,&quot;id&quot;:&quot;94b9d765-7cd8-3752-b58d-c84c999b881e&quot;,&quot;title&quot;:&quot;Increased risk of symptomatic hemangiomas of the airway in association with cutaneous hemangiomas in a “beard” distribution&quot;,&quot;author&quot;:[{&quot;family&quot;:&quot;Orlow&quot;,&quot;given&quot;:&quot;S. J.&quot;,&quot;parse-names&quot;:false,&quot;dropping-particle&quot;:&quot;&quot;,&quot;non-dropping-particle&quot;:&quot;&quot;},{&quot;family&quot;:&quot;Isakoff&quot;,&quot;given&quot;:&quot;M. S.&quot;,&quot;parse-names&quot;:false,&quot;dropping-particle&quot;:&quot;&quot;,&quot;non-dropping-particle&quot;:&quot;&quot;},{&quot;family&quot;:&quot;Blei&quot;,&quot;given&quot;:&quot;F.&quot;,&quot;parse-names&quot;:false,&quot;dropping-particle&quot;:&quot;&quot;,&quot;non-dropping-particle&quot;:&quot;&quot;}],&quot;container-title&quot;:&quot;The Journal of Pediatrics&quot;,&quot;container-title-short&quot;:&quot;J Pediatr&quot;,&quot;accessed&quot;:{&quot;date-parts&quot;:[[2024,10,8]]},&quot;DOI&quot;:&quot;10.1016/S0022-3476(97)70079-9&quot;,&quot;ISSN&quot;:&quot;0022-3476&quot;,&quot;PMID&quot;:&quot;9386676&quot;,&quot;issued&quot;:{&quot;date-parts&quot;:[[1997,10,1]]},&quot;page&quot;:&quot;643-646&quot;,&quot;abstract&quot;:&quot;We evaluated the frequency of an association of cutaneous cervicofacial hemangiomas in a 'beard' distribution (including the preauricular areas, chin, anterior neck, and lower lip) with symptomatic hemangiomas of the upper airway or subglottic areas. Of 529 patients seen, 187 were pediatric patients with hemangiomas of the head and neck. Sixteen of the 187 patients (8.5%) had cutaneous lesions with a beard distribution, with a score of 4 or greater. Ten of these 16 (63%) patients had some degree of symptomatic airway involvement, and four of the 10 (40%) required tracheotomy. The presence of cutaneous hemangiomas in a beard distribution should alert the evaluating physician to the potential association of upper airway or subglottic involvement.&quot;,&quot;publisher&quot;:&quot;Mosby&quot;,&quot;issue&quot;:&quot;4&quot;,&quot;volume&quot;:&quot;131&quot;},&quot;isTemporary&quot;:false}]},{&quot;citationID&quot;:&quot;MENDELEY_CITATION_bc7ac42d-02be-4884-8932-4ee98eeb1ebb&quot;,&quot;properties&quot;:{&quot;noteIndex&quot;:0},&quot;isEdited&quot;:false,&quot;manualOverride&quot;:{&quot;isManuallyOverridden&quot;:false,&quot;citeprocText&quot;:&quot;(2)&quot;,&quot;manualOverrideText&quot;:&quot;&quot;},&quot;citationTag&quot;:&quot;MENDELEY_CITATION_v3_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&quot;,&quot;citationItems&quot;:[{&quot;id&quot;:&quot;47227f8c-6cab-37e1-a5fb-ab4907251c40&quot;,&quot;itemData&quot;:{&quot;type&quot;:&quot;article-journal&quot;,&quot;id&quot;:&quot;47227f8c-6cab-37e1-a5fb-ab4907251c40&quot;,&quot;title&quot;:&quot;Congenital laryngeal anomalies&quot;,&quot;author&quot;:[{&quot;family&quot;:&quot;Rutter&quot;,&quot;given&quot;:&quot;Michael J.&quot;,&quot;parse-names&quot;:false,&quot;dropping-particle&quot;:&quot;&quot;,&quot;non-dropping-particle&quot;:&quot;&quot;}],&quot;container-title&quot;:&quot;Brazilian Journal of Otorhinolaryngology&quot;,&quot;container-title-short&quot;:&quot;Braz J Otorhinolaryngol&quot;,&quot;accessed&quot;:{&quot;date-parts&quot;:[[2024,10,8]]},&quot;DOI&quot;:&quot;10.1016/J.BJORL.2014.08.001&quot;,&quot;ISSN&quot;:&quot;18088686&quot;,&quot;PMID&quot;:&quot;25457074&quot;,&quot;URL&quot;:&quot;/pmc/articles/PMC9442750/&quot;,&quot;issued&quot;:{&quot;date-parts&quot;:[[2014]]},&quot;page&quot;:&quot;533&quot;,&quot;abstract&quot;:&quot;Introduction: It is essential for clinicians to understand issues relevant to the airway management of infants and to be cognizant of the fact that infants with congenital laryngeal anomalies are at particular risk for an unstable airway. Objectives: To familiarize clinicians with issues relevant to the airway management of infants and to present a succinct description of the diagnosis and management of an array of congenital laryngeal anomalies. Methods: Revision article, in which the main aspects concerning airway management of infants will be analyzed. Conclusions: It is critical for clinicians to understand issues relevant to the airway management of infants.&quot;,&quot;publisher&quot;:&quot;Elsevier&quot;,&quot;issue&quot;:&quot;6&quot;,&quot;volume&quot;:&quot;80&quot;},&quot;isTemporary&quot;:false}]},{&quot;citationID&quot;:&quot;MENDELEY_CITATION_b2cb38c1-a8b0-409b-b343-f0c91bb079e4&quot;,&quot;properties&quot;:{&quot;noteIndex&quot;:0},&quot;isEdited&quot;:false,&quot;manualOverride&quot;:{&quot;isManuallyOverridden&quot;:false,&quot;citeprocText&quot;:&quot;(3)&quot;,&quot;manualOverrideText&quot;:&quot;&quot;},&quot;citationTag&quot;:&quot;MENDELEY_CITATION_v3_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&quot;,&quot;citationItems&quot;:[{&quot;id&quot;:&quot;0bed53e7-8303-33e7-8f6a-987468d5d200&quot;,&quot;itemData&quot;:{&quot;type&quot;:&quot;article-journal&quot;,&quot;id&quot;:&quot;0bed53e7-8303-33e7-8f6a-987468d5d200&quot;,&quot;title&quot;:&quot;Skin Patterns Associated with Upper Airway Infantile Haemangiomas: A Retrospective Multicentre Study&quot;,&quot;author&quot;:[{&quot;family&quot;:&quot;Uthurriague&quot;,&quot;given&quot;:&quot;Claire&quot;,&quot;parse-names&quot;:false,&quot;dropping-particle&quot;:&quot;&quot;,&quot;non-dropping-particle&quot;:&quot;&quot;},{&quot;family&quot;:&quot;Boccara&quot;,&quot;given&quot;:&quot;Olivia&quot;,&quot;parse-names&quot;:false,&quot;dropping-particle&quot;:&quot;&quot;,&quot;non-dropping-particle&quot;:&quot;&quot;},{&quot;family&quot;:&quot;Catteau&quot;,&quot;given&quot;:&quot;Benoît&quot;,&quot;parse-names&quot;:false,&quot;dropping-particle&quot;:&quot;&quot;,&quot;non-dropping-particle&quot;:&quot;&quot;},{&quot;family&quot;:&quot;Fayoux&quot;,&quot;given&quot;:&quot;Pierre&quot;,&quot;parse-names&quot;:false,&quot;dropping-particle&quot;:&quot;&quot;,&quot;non-dropping-particle&quot;:&quot;&quot;},{&quot;family&quot;:&quot;Léauté-Labrèze&quot;,&quot;given&quot;:&quot;Christine&quot;,&quot;parse-names&quot;:false,&quot;dropping-particle&quot;:&quot;&quot;,&quot;non-dropping-particle&quot;:&quot;&quot;},{&quot;family&quot;:&quot;Chiaverini&quot;,&quot;given&quot;:&quot;Christine&quot;,&quot;parse-names&quot;:false,&quot;dropping-particle&quot;:&quot;&quot;,&quot;non-dropping-particle&quot;:&quot;&quot;},{&quot;family&quot;:&quot;Maruani&quot;,&quot;given&quot;:&quot;Annabel&quot;,&quot;parse-names&quot;:false,&quot;dropping-particle&quot;:&quot;&quot;,&quot;non-dropping-particle&quot;:&quot;&quot;},{&quot;family&quot;:&quot;Pondaven-Letourmy&quot;,&quot;given&quot;:&quot;Soizick&quot;,&quot;parse-names&quot;:false,&quot;dropping-particle&quot;:&quot;&quot;,&quot;non-dropping-particle&quot;:&quot;&quot;},{&quot;family&quot;:&quot;Alaidarous&quot;,&quot;given&quot;:&quot;Abdulqader&quot;,&quot;parse-names&quot;:false,&quot;dropping-particle&quot;:&quot;&quot;,&quot;non-dropping-particle&quot;:&quot;&quot;},{&quot;family&quot;:&quot;Puzenat&quot;,&quot;given&quot;:&quot;Eve&quot;,&quot;parse-names&quot;:false,&quot;dropping-particle&quot;:&quot;&quot;,&quot;non-dropping-particle&quot;:&quot;&quot;},{&quot;family&quot;:&quot;Hubiche&quot;,&quot;given&quot;:&quot;Thomas&quot;,&quot;parse-names&quot;:false,&quot;dropping-particle&quot;:&quot;&quot;,&quot;non-dropping-particle&quot;:&quot;&quot;},{&quot;family&quot;:&quot;Mallet&quot;,&quot;given&quot;:&quot;Stéphanie&quot;,&quot;parse-names&quot;:false,&quot;dropping-particle&quot;:&quot;&quot;,&quot;non-dropping-particle&quot;:&quot;&quot;},{&quot;family&quot;:&quot;Dreyfus&quot;,&quot;given&quot;:&quot;Isabelle&quot;,&quot;parse-names&quot;:false,&quot;dropping-particle&quot;:&quot;&quot;,&quot;non-dropping-particle&quot;:&quot;&quot;},{&quot;family&quot;:&quot;Mazereeuw-Hautier&quot;,&quot;given&quot;:&quot;Juliette&quot;,&quot;parse-names&quot;:false,&quot;dropping-particle&quot;:&quot;&quot;,&quot;non-dropping-particle&quot;:&quot;&quot;}],&quot;container-title&quot;:&quot;Acta dermato-venereologica&quot;,&quot;container-title-short&quot;:&quot;Acta Derm Venereol&quot;,&quot;accessed&quot;:{&quot;date-parts&quot;:[[2024,10,8]]},&quot;DOI&quot;:&quot;10.2340/00015555-2357&quot;,&quot;ISSN&quot;:&quot;1651-2057&quot;,&quot;PMID&quot;:&quot;26832659&quot;,&quot;URL&quot;:&quot;https://pubmed.ncbi.nlm.nih.gov/26832659/&quot;,&quot;issued&quot;:{&quot;date-parts&quot;:[[2016,11,1]]},&quot;page&quot;:&quot;963-966&quot;,&quot;abstract&quot;:&quot;The aim of this study was to define the skin patterns at high risk for upper airway infantile haemangioma. A retrospective multicentre French observational study was conducted between January 2006 and January 2015 and all confirmed airway haemangioma were included. Thirty-eight patients with airway haemangioma from 9 centres were included. Thirty-one patients had a cutaneous or mucosal haemangioma: 21 with a location considered at high risk for airway haemangioma (large segmental mandibular haemangioma), 4 with a very mild facial involvement (lower lip or S1 (frontotemporal segment according to Haggstrom and Frieden)) and 6 with either lesions of the neck or body, or association of both. We report here the largest cohort of airway haemangioma. A third of patients do not completely fit with the definition of the high-risk area of airway haemangioma. Segmental lower lip and neck involvement also seem to be very suggestive areas. Clinicians must be able to recognize these areas.&quot;,&quot;publisher&quot;:&quot;Acta Derm Venereol&quot;,&quot;issue&quot;:&quot;7&quot;,&quot;volume&quot;:&quot;96&quot;},&quot;isTemporary&quot;:false}]},{&quot;citationID&quot;:&quot;MENDELEY_CITATION_61a5966d-24ea-451e-9527-1e66f61fbb92&quot;,&quot;properties&quot;:{&quot;noteIndex&quot;:0},&quot;isEdited&quot;:false,&quot;manualOverride&quot;:{&quot;isManuallyOverridden&quot;:false,&quot;citeprocText&quot;:&quot;(4)&quot;,&quot;manualOverrideText&quot;:&quot;&quot;},&quot;citationTag&quot;:&quot;MENDELEY_CITATION_v3_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&quot;,&quot;citationItems&quot;:[{&quot;id&quot;:&quot;456d67c9-4b5a-374a-aa06-abeec87ec3c6&quot;,&quot;itemData&quot;:{&quot;type&quot;:&quot;article-journal&quot;,&quot;id&quot;:&quot;456d67c9-4b5a-374a-aa06-abeec87ec3c6&quot;,&quot;title&quot;:&quot;Propranolol for severe hemangiomas of infancy&quot;,&quot;author&quot;:[{&quot;family&quot;:&quot;Léauté-Labrèze&quot;,&quot;given&quot;:&quot;Christine&quot;,&quot;parse-names&quot;:false,&quot;dropping-particle&quot;:&quot;&quot;,&quot;non-dropping-particle&quot;:&quot;&quot;},{&quot;family&quot;:&quot;la Roque&quot;,&quot;given&quot;:&quot;Eric Dumas&quot;,&quot;parse-names&quot;:false,&quot;dropping-particle&quot;:&quot;&quot;,&quot;non-dropping-particle&quot;:&quot;de&quot;},{&quot;family&quot;:&quot;Hubiche&quot;,&quot;given&quot;:&quot;Thomas&quot;,&quot;parse-names&quot;:false,&quot;dropping-particle&quot;:&quot;&quot;,&quot;non-dropping-particle&quot;:&quot;&quot;},{&quot;family&quot;:&quot;Boralevi&quot;,&quot;given&quot;:&quot;Franck&quot;,&quot;parse-names&quot;:false,&quot;dropping-particle&quot;:&quot;&quot;,&quot;non-dropping-particle&quot;:&quot;&quot;},{&quot;family&quot;:&quot;Thambo&quot;,&quot;given&quot;:&quot;Jean-Benoît&quot;,&quot;parse-names&quot;:false,&quot;dropping-particle&quot;:&quot;&quot;,&quot;non-dropping-particle&quot;:&quot;&quot;},{&quot;family&quot;:&quot;Taïeb&quot;,&quot;given&quot;:&quot;Alain&quot;,&quot;parse-names&quot;:false,&quot;dropping-particle&quot;:&quot;&quot;,&quot;non-dropping-particle&quot;:&quot;&quot;}],&quot;container-title&quot;:&quot;The New England journal of medicine&quot;,&quot;container-title-short&quot;:&quot;N Engl J Med&quot;,&quot;accessed&quot;:{&quot;date-parts&quot;:[[2024,10,8]]},&quot;DOI&quot;:&quot;10.1056/NEJMC0708819&quot;,&quot;ISSN&quot;:&quot;1533-4406&quot;,&quot;PMID&quot;:&quot;18550886&quot;,&quot;URL&quot;:&quot;https://pubmed.ncbi.nlm.nih.gov/18550886/&quot;,&quot;issued&quot;:{&quot;date-parts&quot;:[[2008,6,12]]},&quot;page&quot;:&quot;2649-2651&quot;,&quot;abstract&quot;:&quot;OBJECTIVES Haemangiomas are the most common tumors of infancy affecting approximately 1 in 10 children. Unlike other tumors, haemangiomas enter an involution phase, during which they usually regress over the next several months to years. Sometimes intervention is required due to proliferative growth which is complicated by ulceration, bleeding, persistent aesthetic deformity or infection. METHODS Review of the literature. RESULTS Propranolol, a nonselective beta-blocker, has recently been introduced as a novel modality for the treatment of proliferating haemangiomas. The exact mechanism of action of propranolol in the treatment of haemangiomas remains unclear, but vasoconstriction, down-regulation of angiogenic factors such as VEGF and bFGF and up-regulation of apoptosis of capillary endothelial cells may be responsible for the reduction of haemangiomas. Besides, an inhibition of MMP-9 and HBMEC expression by propanolol is discussed as possible mechanism influencing the growth of haemangiomas. However, there are different case reports of successfully treated infants in the current literature. CONCLUSION There is the obtain that propranolol will detach steroids in the therapy for infantile haemangiomas.&quot;,&quot;publisher&quot;:&quot;N Engl J Med&quot;,&quot;issue&quot;:&quot;24&quot;,&quot;volume&quot;:&quot;358&quot;},&quot;isTemporary&quot;:false}]},{&quot;citationID&quot;:&quot;MENDELEY_CITATION_f0dc5498-67ee-40a6-973d-35bce3a62d97&quot;,&quot;properties&quot;:{&quot;noteIndex&quot;:0},&quot;isEdited&quot;:false,&quot;manualOverride&quot;:{&quot;isManuallyOverridden&quot;:false,&quot;citeprocText&quot;:&quot;(5)&quot;,&quot;manualOverrideText&quot;:&quot;&quot;},&quot;citationTag&quot;:&quot;MENDELEY_CITATION_v3_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&quot;,&quot;citationItems&quot;:[{&quot;id&quot;:&quot;8d8eea2a-8432-3f36-b9bc-af08f9f2711a&quot;,&quot;itemData&quot;:{&quot;type&quot;:&quot;article-journal&quot;,&quot;id&quot;:&quot;8d8eea2a-8432-3f36-b9bc-af08f9f2711a&quot;,&quot;title&quot;:&quot;Safety of Oral Propranolol for the Treatment of Infantile Hemangioma: A Systematic Review&quot;,&quot;author&quot;:[{&quot;family&quot;:&quot;Léaute-Labrèze&quot;,&quot;given&quot;:&quot;Christine&quot;,&quot;parse-names&quot;:false,&quot;dropping-particle&quot;:&quot;&quot;,&quot;non-dropping-particle&quot;:&quot;&quot;},{&quot;family&quot;:&quot;Boccara&quot;,&quot;given&quot;:&quot;Olivia&quot;,&quot;parse-names&quot;:false,&quot;dropping-particle&quot;:&quot;&quot;,&quot;non-dropping-particle&quot;:&quot;&quot;},{&quot;family&quot;:&quot;Degrugillier-Chopinet&quot;,&quot;given&quot;:&quot;Caroline&quot;,&quot;parse-names&quot;:false,&quot;dropping-particle&quot;:&quot;&quot;,&quot;non-dropping-particle&quot;:&quot;&quot;},{&quot;family&quot;:&quot;Mazereeuw-Hautier&quot;,&quot;given&quot;:&quot;Juliette&quot;,&quot;parse-names&quot;:false,&quot;dropping-particle&quot;:&quot;&quot;,&quot;non-dropping-particle&quot;:&quot;&quot;},{&quot;family&quot;:&quot;Prey&quot;,&quot;given&quot;:&quot;Sorilla&quot;,&quot;parse-names&quot;:false,&quot;dropping-particle&quot;:&quot;&quot;,&quot;non-dropping-particle&quot;:&quot;&quot;},{&quot;family&quot;:&quot;Lebbé&quot;,&quot;given&quot;:&quot;Geneviève&quot;,&quot;parse-names&quot;:false,&quot;dropping-particle&quot;:&quot;&quot;,&quot;non-dropping-particle&quot;:&quot;&quot;},{&quot;family&quot;:&quot;Gautier&quot;,&quot;given&quot;:&quot;Stéphanie&quot;,&quot;parse-names&quot;:false,&quot;dropping-particle&quot;:&quot;&quot;,&quot;non-dropping-particle&quot;:&quot;&quot;},{&quot;family&quot;:&quot;Ortis&quot;,&quot;given&quot;:&quot;Valérie&quot;,&quot;parse-names&quot;:false,&quot;dropping-particle&quot;:&quot;&quot;,&quot;non-dropping-particle&quot;:&quot;&quot;},{&quot;family&quot;:&quot;Lafon&quot;,&quot;given&quot;:&quot;Martine&quot;,&quot;parse-names&quot;:false,&quot;dropping-particle&quot;:&quot;&quot;,&quot;non-dropping-particle&quot;:&quot;&quot;},{&quot;family&quot;:&quot;Montagne&quot;,&quot;given&quot;:&quot;Agnès&quot;,&quot;parse-names&quot;:false,&quot;dropping-particle&quot;:&quot;&quot;,&quot;non-dropping-particle&quot;:&quot;&quot;},{&quot;family&quot;:&quot;Delarue&quot;,&quot;given&quot;:&quot;Alain&quot;,&quot;parse-names&quot;:false,&quot;dropping-particle&quot;:&quot;&quot;,&quot;non-dropping-particle&quot;:&quot;&quot;},{&quot;family&quot;:&quot;Voisard&quot;,&quot;given&quot;:&quot;Jean Jacques&quot;,&quot;parse-names&quot;:false,&quot;dropping-particle&quot;:&quot;&quot;,&quot;non-dropping-particle&quot;:&quot;&quot;}],&quot;container-title&quot;:&quot;Pediatrics&quot;,&quot;container-title-short&quot;:&quot;Pediatrics&quot;,&quot;accessed&quot;:{&quot;date-parts&quot;:[[2024,10,8]]},&quot;DOI&quot;:&quot;10.1542/PEDS.2016-0353&quot;,&quot;ISSN&quot;:&quot;1098-4275&quot;,&quot;PMID&quot;:&quot;27688361&quot;,&quot;URL&quot;:&quot;https://pubmed.ncbi.nlm.nih.gov/27688361/&quot;,&quot;issued&quot;:{&quot;date-parts&quot;:[[2016,10,1]]},&quot;abstract&quot;:&quot;Background and Objectives: Given the widespread use of propranolol in infantile hemangioma (IH) it was considered essential to perform a systematic review of its safety. The objectives of this review were to evaluate the safety profile of oral propranolol in the treatment of IH. METHODS: We searched Embase and Medline databases (2007-July 2014) and unpublished data from the manufacturer of Hemangiol/Hemangeol (marketed pediatric formulation of oral propranolol; Pierre Fabre Dermatologie, Lavaur, France). Selected studies included ≥10 patients treated with oral propranolol for IH and that either reported ≥1 adverse event or effect (AE) or planned to capture AEs. Data capture was standardized and extracted study design, demographic characteristics, IH characteristics, intervention, and safety outcomes. AEs were assigned a system organ class and preferred term. RESULTS: A total of 83 of 398 identified literature records met the inclusion criteria, covering 3766 propranolol-treated patients. The manufacturer¡s data for 3 pooled clinical trials (435 propranolol-treated patients) and 1 Compassionate Use Program (1661 patients) were included. AE data were reported for 1945 of 5862 propranolol-treated patients. The most frequently reported AEs included a range of sleep disturbances, peripheral coldness, and agitation. The most serious AEs (atrioventricular block, bradycardia, hypotension, bronchospasm/bronchial hyperreactivity, and hypoglycemia-related seizures) were managed by decreasing doses or temporary/permanent discontinuation of propranolol. Limitations included the variety of included study designs; monitoring, collection, and reporting of AE data; small sample sizes for some articles; and the wide scope of review. CONCLUSIONS: Oral propranolol is well tolerated if appropriate pretreatment assessments and within-treatment monitoring are performed to exclude patients with contraindications and to minimize serious side effects during treatment.&quot;,&quot;publisher&quot;:&quot;Pediatrics&quot;,&quot;issue&quot;:&quot;4&quot;,&quot;volume&quot;:&quot;138&quot;},&quot;isTemporary&quot;:false}]},{&quot;citationID&quot;:&quot;MENDELEY_CITATION_45e749d3-6446-4991-ba38-f65705a8ec9e&quot;,&quot;properties&quot;:{&quot;noteIndex&quot;:0},&quot;isEdited&quot;:false,&quot;manualOverride&quot;:{&quot;isManuallyOverridden&quot;:false,&quot;citeprocText&quot;:&quot;(6)&quot;,&quot;manualOverrideText&quot;:&quot;&quot;},&quot;citationTag&quot;:&quot;MENDELEY_CITATION_v3_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&quot;,&quot;citationItems&quot;:[{&quot;id&quot;:&quot;3eeb21df-5f42-38bf-85c8-a142640d03eb&quot;,&quot;itemData&quot;:{&quot;type&quot;:&quot;article&quot;,&quot;id&quot;:&quot;3eeb21df-5f42-38bf-85c8-a142640d03eb&quot;,&quot;title&quot;:&quot;Propranolol in the treatment of infantile hemangiomas&quot;,&quot;author&quot;:[{&quot;family&quot;:&quot;Tan&quot;,&quot;given&quot;:&quot;Xin&quot;,&quot;parse-names&quot;:false,&quot;dropping-particle&quot;:&quot;&quot;,&quot;non-dropping-particle&quot;:&quot;&quot;},{&quot;family&quot;:&quot;Guo&quot;,&quot;given&quot;:&quot;Shu&quot;,&quot;parse-names&quot;:false,&quot;dropping-particle&quot;:&quot;&quot;,&quot;non-dropping-particle&quot;:&quot;&quot;},{&quot;family&quot;:&quot;Wang&quot;,&quot;given&quot;:&quot;Chenchao&quot;,&quot;parse-names&quot;:false,&quot;dropping-particle&quot;:&quot;&quot;,&quot;non-dropping-particle&quot;:&quot;&quot;}],&quot;container-title&quot;:&quot;Clinical, Cosmetic and Investigational Dermatology&quot;,&quot;container-title-short&quot;:&quot;Clin Cosmet Investig Dermatol&quot;,&quot;DOI&quot;:&quot;10.2147/CCID.S332625&quot;,&quot;ISSN&quot;:&quot;11787015&quot;,&quot;issued&quot;:{&quot;date-parts&quot;:[[2021]]},&quot;page&quot;:&quot;1155-1163&quot;,&quot;abstract&quot;:&quot;Propranolol, as the first generation of β-blocker family, was initially introduced in the clinical application for tachycardia and hypertension in the 1960s. However, the occasional discovery of propranolol in the involution of infantile hemangiomas (IHs) brought us a new perspective. IHs are the most common infantile tumor, affecting 4–10% newborns. So far, oral propranolol is the first-line medication for IHs treatment. At the same time, local injection and topical propranolol are developing. Despite the worldwide application, the precise mechanism of propranolol of IHs has not been completely studied. In this article, we reviewed and summarized the current information on pharmacology, mechanism, efficacy, and adverse effects of propranolol. Novel design of biomaterials and bioactive molecules are needed for new treatment and ideal pathway to attain the minimal effective treatment concentration and eliminate the adverse effects.&quot;,&quot;publisher&quot;:&quot;Dove Medical Press Ltd&quot;,&quot;volume&quot;:&quot;14&quot;},&quot;isTemporary&quot;:false}]},{&quot;citationID&quot;:&quot;MENDELEY_CITATION_2f1dfd07-d7ca-46d5-8885-23e415cb8bff&quot;,&quot;properties&quot;:{&quot;noteIndex&quot;:0},&quot;isEdited&quot;:false,&quot;manualOverride&quot;:{&quot;isManuallyOverridden&quot;:false,&quot;citeprocText&quot;:&quot;(6)&quot;,&quot;manualOverrideText&quot;:&quot;&quot;},&quot;citationTag&quot;:&quot;MENDELEY_CITATION_v3_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&quot;,&quot;citationItems&quot;:[{&quot;id&quot;:&quot;3eeb21df-5f42-38bf-85c8-a142640d03eb&quot;,&quot;itemData&quot;:{&quot;type&quot;:&quot;article&quot;,&quot;id&quot;:&quot;3eeb21df-5f42-38bf-85c8-a142640d03eb&quot;,&quot;title&quot;:&quot;Propranolol in the treatment of infantile hemangiomas&quot;,&quot;author&quot;:[{&quot;family&quot;:&quot;Tan&quot;,&quot;given&quot;:&quot;Xin&quot;,&quot;parse-names&quot;:false,&quot;dropping-particle&quot;:&quot;&quot;,&quot;non-dropping-particle&quot;:&quot;&quot;},{&quot;family&quot;:&quot;Guo&quot;,&quot;given&quot;:&quot;Shu&quot;,&quot;parse-names&quot;:false,&quot;dropping-particle&quot;:&quot;&quot;,&quot;non-dropping-particle&quot;:&quot;&quot;},{&quot;family&quot;:&quot;Wang&quot;,&quot;given&quot;:&quot;Chenchao&quot;,&quot;parse-names&quot;:false,&quot;dropping-particle&quot;:&quot;&quot;,&quot;non-dropping-particle&quot;:&quot;&quot;}],&quot;container-title&quot;:&quot;Clinical, Cosmetic and Investigational Dermatology&quot;,&quot;container-title-short&quot;:&quot;Clin Cosmet Investig Dermatol&quot;,&quot;DOI&quot;:&quot;10.2147/CCID.S332625&quot;,&quot;ISSN&quot;:&quot;11787015&quot;,&quot;issued&quot;:{&quot;date-parts&quot;:[[2021]]},&quot;page&quot;:&quot;1155-1163&quot;,&quot;abstract&quot;:&quot;Propranolol, as the first generation of β-blocker family, was initially introduced in the clinical application for tachycardia and hypertension in the 1960s. However, the occasional discovery of propranolol in the involution of infantile hemangiomas (IHs) brought us a new perspective. IHs are the most common infantile tumor, affecting 4–10% newborns. So far, oral propranolol is the first-line medication for IHs treatment. At the same time, local injection and topical propranolol are developing. Despite the worldwide application, the precise mechanism of propranolol of IHs has not been completely studied. In this article, we reviewed and summarized the current information on pharmacology, mechanism, efficacy, and adverse effects of propranolol. Novel design of biomaterials and bioactive molecules are needed for new treatment and ideal pathway to attain the minimal effective treatment concentration and eliminate the adverse effects.&quot;,&quot;publisher&quot;:&quot;Dove Medical Press Ltd&quot;,&quot;volume&quot;:&quot;14&quot;},&quot;isTemporary&quot;:false}]}]"/>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F6244-0057-4A10-A821-7833DEF12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400</Words>
  <Characters>2400</Characters>
  <Application>Microsoft Office Word</Application>
  <DocSecurity>0</DocSecurity>
  <Lines>20</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Dowgiałło-Gornowicz</dc:creator>
  <cp:keywords/>
  <dc:description/>
  <cp:lastModifiedBy>Natalia Dowgiałło-Gornowicz</cp:lastModifiedBy>
  <cp:revision>2</cp:revision>
  <dcterms:created xsi:type="dcterms:W3CDTF">2026-04-27T13:24:00Z</dcterms:created>
  <dcterms:modified xsi:type="dcterms:W3CDTF">2026-04-27T13:24:00Z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622b09ce-76ba-4260-a47e-db245c6716ae</vt:lpwstr>
  </property>
</Properties>
</file>